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wmf" ContentType="image/x-wmf"/>
  <Override PartName="/word/media/image4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ind w:left="0" w:right="0" w:firstLine="5669"/>
        <w:jc w:val="both"/>
        <w:rPr/>
      </w:pPr>
      <w:r>
        <w:rPr>
          <w:rFonts w:cs="Times New Roman"/>
          <w:sz w:val="26"/>
          <w:szCs w:val="26"/>
        </w:rPr>
        <w:t xml:space="preserve">Приложение </w:t>
      </w:r>
    </w:p>
    <w:p>
      <w:pPr>
        <w:pStyle w:val="ConsPlusCell"/>
        <w:jc w:val="both"/>
        <w:rPr/>
      </w:pPr>
      <w:r>
        <w:rPr>
          <w:rFonts w:eastAsia="Times New Roman" w:cs="Times New Roman" w:ascii="Times New Roman" w:hAnsi="Times New Roman"/>
          <w:sz w:val="26"/>
          <w:szCs w:val="26"/>
        </w:rPr>
        <w:t xml:space="preserve">                                                                                        </w:t>
      </w:r>
      <w:r>
        <w:rPr>
          <w:rFonts w:eastAsia="Times New Roman" w:cs="Times New Roman" w:ascii="Times New Roman" w:hAnsi="Times New Roman"/>
          <w:sz w:val="26"/>
          <w:szCs w:val="26"/>
        </w:rPr>
        <w:t xml:space="preserve">к  </w:t>
      </w:r>
      <w:r>
        <w:rPr>
          <w:rFonts w:cs="Times New Roman" w:ascii="Times New Roman" w:hAnsi="Times New Roman"/>
          <w:sz w:val="26"/>
          <w:szCs w:val="26"/>
        </w:rPr>
        <w:t xml:space="preserve">постановлению администрации </w:t>
      </w:r>
    </w:p>
    <w:p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  <w:tab/>
        <w:tab/>
        <w:tab/>
        <w:tab/>
        <w:tab/>
        <w:tab/>
        <w:tab/>
        <w:t xml:space="preserve">            Усть-Абаканского района</w:t>
      </w:r>
    </w:p>
    <w:p>
      <w:pPr>
        <w:pStyle w:val="ConsPlusCell"/>
        <w:jc w:val="both"/>
        <w:rPr>
          <w:rFonts w:ascii="Times New Roman" w:hAnsi="Times New Roman" w:eastAsia="Times New Roman" w:cs="Times New Roman"/>
          <w:sz w:val="26"/>
          <w:szCs w:val="26"/>
          <w:shd w:fill="FFFF00" w:val="clear"/>
          <w:lang w:eastAsia="ru-RU"/>
        </w:rPr>
      </w:pPr>
      <w:r>
        <w:rPr>
          <w:rFonts w:eastAsia="Times New Roman" w:cs="Times New Roman" w:ascii="Times New Roman" w:hAnsi="Times New Roman"/>
          <w:sz w:val="26"/>
          <w:szCs w:val="26"/>
          <w:lang w:eastAsia="ru-RU"/>
        </w:rPr>
        <w:t xml:space="preserve">                                                                                       </w:t>
      </w:r>
    </w:p>
    <w:p>
      <w:pPr>
        <w:pStyle w:val="Normal"/>
        <w:jc w:val="right"/>
        <w:rPr/>
      </w:pPr>
      <w:r>
        <w:rPr>
          <w:szCs w:val="26"/>
          <w:shd w:fill="FFFF00" w:val="clear"/>
        </w:rPr>
        <w:t xml:space="preserve"> </w:t>
      </w:r>
    </w:p>
    <w:p>
      <w:pPr>
        <w:pStyle w:val="Normal"/>
        <w:jc w:val="right"/>
        <w:rPr>
          <w:b/>
          <w:b/>
          <w:sz w:val="24"/>
          <w:szCs w:val="24"/>
        </w:rPr>
      </w:pPr>
      <w:r>
        <w:rPr>
          <w:b/>
          <w:sz w:val="24"/>
          <w:szCs w:val="24"/>
        </w:rPr>
      </w:r>
    </w:p>
    <w:p>
      <w:pPr>
        <w:pStyle w:val="Normal"/>
        <w:jc w:val="center"/>
        <w:rPr>
          <w:rFonts w:eastAsia="Calibri"/>
          <w:szCs w:val="26"/>
          <w:lang w:eastAsia="zh-CN"/>
        </w:rPr>
      </w:pPr>
      <w:r>
        <w:rPr>
          <w:rFonts w:eastAsia="Calibri"/>
          <w:szCs w:val="26"/>
          <w:lang w:eastAsia="zh-CN"/>
        </w:rPr>
      </w:r>
    </w:p>
    <w:p>
      <w:pPr>
        <w:pStyle w:val="Normal"/>
        <w:jc w:val="center"/>
        <w:rPr>
          <w:szCs w:val="26"/>
        </w:rPr>
      </w:pPr>
      <w:r>
        <w:rPr>
          <w:szCs w:val="26"/>
        </w:rPr>
      </w:r>
    </w:p>
    <w:p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</w:r>
    </w:p>
    <w:p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</w:r>
    </w:p>
    <w:p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</w:r>
    </w:p>
    <w:p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</w:r>
    </w:p>
    <w:p>
      <w:pPr>
        <w:pStyle w:val="Normal"/>
        <w:pBdr>
          <w:bottom w:val="thinThickSmallGap" w:sz="12" w:space="1" w:color="943634"/>
        </w:pBdr>
        <w:spacing w:lineRule="auto" w:line="252" w:before="400" w:after="200"/>
        <w:jc w:val="center"/>
        <w:rPr>
          <w:sz w:val="36"/>
          <w:szCs w:val="36"/>
        </w:rPr>
      </w:pPr>
      <w:r>
        <w:rPr>
          <w:caps/>
          <w:spacing w:val="20"/>
          <w:sz w:val="36"/>
          <w:szCs w:val="36"/>
          <w:lang w:eastAsia="en-US"/>
        </w:rPr>
        <w:t xml:space="preserve">ПРОЕКТ </w:t>
      </w:r>
      <w:r>
        <w:rPr>
          <w:caps/>
          <w:spacing w:val="20"/>
          <w:sz w:val="36"/>
          <w:szCs w:val="36"/>
          <w:lang w:eastAsia="en-US"/>
        </w:rPr>
        <w:t>Схем</w:t>
      </w:r>
      <w:r>
        <w:rPr>
          <w:caps/>
          <w:spacing w:val="20"/>
          <w:sz w:val="36"/>
          <w:szCs w:val="36"/>
          <w:lang w:eastAsia="en-US"/>
        </w:rPr>
        <w:t>ы</w:t>
      </w:r>
      <w:r>
        <w:rPr>
          <w:caps/>
          <w:spacing w:val="20"/>
          <w:sz w:val="36"/>
          <w:szCs w:val="36"/>
          <w:lang w:eastAsia="en-US"/>
        </w:rPr>
        <w:t xml:space="preserve"> </w:t>
      </w:r>
    </w:p>
    <w:p>
      <w:pPr>
        <w:pStyle w:val="Normal"/>
        <w:pBdr>
          <w:bottom w:val="thinThickSmallGap" w:sz="12" w:space="1" w:color="943634"/>
        </w:pBdr>
        <w:spacing w:lineRule="auto" w:line="252" w:before="400" w:after="200"/>
        <w:jc w:val="center"/>
        <w:rPr>
          <w:sz w:val="36"/>
          <w:szCs w:val="36"/>
        </w:rPr>
      </w:pPr>
      <w:r>
        <w:rPr>
          <w:caps/>
          <w:spacing w:val="20"/>
          <w:sz w:val="36"/>
          <w:szCs w:val="36"/>
          <w:lang w:eastAsia="en-US"/>
        </w:rPr>
        <w:t>теплоснабжения Опытненского сельсовета Усть-Абаканского района</w:t>
      </w:r>
    </w:p>
    <w:p>
      <w:pPr>
        <w:pStyle w:val="Normal"/>
        <w:spacing w:lineRule="auto" w:line="276" w:before="0" w:after="200"/>
        <w:rPr>
          <w:rFonts w:ascii="Calibri" w:hAnsi="Calibri" w:eastAsia="Calibri"/>
          <w:sz w:val="22"/>
          <w:lang w:eastAsia="en-US"/>
        </w:rPr>
      </w:pPr>
      <w:r>
        <w:rPr>
          <w:rFonts w:eastAsia="Calibri" w:ascii="Calibri" w:hAnsi="Calibri"/>
          <w:sz w:val="22"/>
          <w:lang w:eastAsia="en-US"/>
        </w:rPr>
      </w:r>
    </w:p>
    <w:p>
      <w:pPr>
        <w:pStyle w:val="Normal"/>
        <w:spacing w:lineRule="auto" w:line="276" w:before="0" w:after="200"/>
        <w:rPr>
          <w:rFonts w:ascii="Calibri" w:hAnsi="Calibri" w:eastAsia="Calibri"/>
          <w:sz w:val="22"/>
          <w:lang w:eastAsia="en-US"/>
        </w:rPr>
      </w:pPr>
      <w:r>
        <w:rPr>
          <w:rFonts w:eastAsia="Calibri" w:ascii="Calibri" w:hAnsi="Calibri"/>
          <w:sz w:val="22"/>
          <w:lang w:eastAsia="en-US"/>
        </w:rPr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/>
          <w:sz w:val="36"/>
          <w:lang w:eastAsia="en-US"/>
        </w:rPr>
      </w:pPr>
      <w:r>
        <w:rPr>
          <w:rFonts w:eastAsia="Calibri"/>
          <w:b/>
          <w:sz w:val="36"/>
          <w:lang w:eastAsia="en-US"/>
        </w:rPr>
        <w:t>(АКТУАЛИЗАЦИЯ НА 2025 ГОД)</w:t>
      </w:r>
    </w:p>
    <w:p>
      <w:pPr>
        <w:pStyle w:val="Normal"/>
        <w:rPr>
          <w:b/>
          <w:b/>
          <w:bCs/>
          <w:szCs w:val="26"/>
          <w:highlight w:val="green"/>
        </w:rPr>
      </w:pPr>
      <w:r>
        <w:rPr>
          <w:b/>
          <w:bCs/>
          <w:szCs w:val="26"/>
          <w:highlight w:val="green"/>
        </w:rPr>
      </w:r>
      <w:r>
        <w:br w:type="page"/>
      </w:r>
    </w:p>
    <w:p>
      <w:pPr>
        <w:pStyle w:val="Normal"/>
        <w:ind w:firstLine="709"/>
        <w:jc w:val="center"/>
        <w:rPr>
          <w:color w:val="auto"/>
        </w:rPr>
      </w:pPr>
      <w:r>
        <w:rPr>
          <w:b/>
          <w:bCs/>
          <w:color w:val="auto"/>
          <w:sz w:val="24"/>
          <w:szCs w:val="24"/>
        </w:rPr>
        <w:t>Глава 1 «Существующее положение в сфере производства, передачи</w:t>
      </w:r>
    </w:p>
    <w:p>
      <w:pPr>
        <w:pStyle w:val="Normal"/>
        <w:ind w:firstLine="709"/>
        <w:jc w:val="center"/>
        <w:rPr>
          <w:color w:val="auto"/>
        </w:rPr>
      </w:pPr>
      <w:r>
        <w:rPr>
          <w:b/>
          <w:bCs/>
          <w:color w:val="auto"/>
          <w:sz w:val="24"/>
          <w:szCs w:val="24"/>
        </w:rPr>
        <w:t xml:space="preserve"> </w:t>
      </w:r>
      <w:r>
        <w:rPr>
          <w:b/>
          <w:bCs/>
          <w:color w:val="auto"/>
          <w:sz w:val="24"/>
          <w:szCs w:val="24"/>
        </w:rPr>
        <w:t>и потребления тепловой энергии для целей теплоснабжения»</w:t>
      </w:r>
    </w:p>
    <w:p>
      <w:pPr>
        <w:pStyle w:val="Normal"/>
        <w:spacing w:beforeAutospacing="1" w:afterAutospacing="1"/>
        <w:ind w:firstLine="708"/>
        <w:rPr>
          <w:color w:val="auto"/>
        </w:rPr>
      </w:pPr>
      <w:r>
        <w:rPr>
          <w:b/>
          <w:bCs/>
          <w:color w:val="auto"/>
          <w:sz w:val="24"/>
          <w:szCs w:val="24"/>
        </w:rPr>
        <w:t>Часть 1 «Функциональная структура теплоснабжения»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Опытненское сельское поселение является административно-территориальным образованием, входящим в состав территории Усть–Абаканского муниципального района Республики Хакасия.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Площадь поселения – 7875 га.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Административный центр сельского поселения – село Зелёное, которое расположено рядом с автодорогой регионального значения (Абакан - Черногорск). Расстояние от административного центра сельского поселения до районного центра (Усть-Абакан) составляет 14 км, до регионального центра (г. Абакан) - 15 км, до ближайшей железнодорожной станции (г. Абакан) - 15 км.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Численность населения села «Зелёное» на 01.01.2023 г. – 1810 человек.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Село Зелёное расположено в юго-западной части Усть-Абаканского района.</w:t>
        <w:tab/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Усть-Абаканский район расположен в северной части Минусинской котловины.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Климат Усть –Абаканского района характеризуется как резко - континентальный.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Значение среднегодовой температуры наружного воздуха составляет +2,5°С.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Самая низкая среднемесячная температура -17,3 </w:t>
      </w:r>
      <w:r>
        <w:rPr>
          <w:color w:val="auto"/>
          <w:sz w:val="24"/>
          <w:szCs w:val="24"/>
          <w:vertAlign w:val="superscript"/>
        </w:rPr>
        <w:t>о</w:t>
      </w:r>
      <w:r>
        <w:rPr>
          <w:color w:val="auto"/>
          <w:sz w:val="24"/>
          <w:szCs w:val="24"/>
        </w:rPr>
        <w:t>С и абсолютный минимум -45</w:t>
      </w:r>
      <w:r>
        <w:rPr>
          <w:color w:val="auto"/>
          <w:sz w:val="24"/>
          <w:szCs w:val="24"/>
          <w:vertAlign w:val="superscript"/>
        </w:rPr>
        <w:t>о</w:t>
      </w:r>
      <w:r>
        <w:rPr>
          <w:color w:val="auto"/>
          <w:sz w:val="24"/>
          <w:szCs w:val="24"/>
        </w:rPr>
        <w:t>С наблюдается в январе месяце.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Снег начинает выпадать в конце октября - начале ноября, устойчивый снежный покров формируется к середине ноября. Мощность снежного покрова достигает в среднем 40-60 см.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Глубина промерзания грунтов на территории поселения составляет </w:t>
        <w:br/>
        <w:t>абсолютный минимум 3 метра.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Самая высокая среднемесячная температура +20,4</w:t>
      </w:r>
      <w:r>
        <w:rPr>
          <w:color w:val="auto"/>
          <w:sz w:val="24"/>
          <w:szCs w:val="24"/>
          <w:vertAlign w:val="superscript"/>
        </w:rPr>
        <w:t>о</w:t>
      </w:r>
      <w:r>
        <w:rPr>
          <w:color w:val="auto"/>
          <w:sz w:val="24"/>
          <w:szCs w:val="24"/>
        </w:rPr>
        <w:t xml:space="preserve"> и абсолютный максимум +39</w:t>
      </w:r>
      <w:r>
        <w:rPr>
          <w:color w:val="auto"/>
          <w:sz w:val="24"/>
          <w:szCs w:val="24"/>
          <w:vertAlign w:val="superscript"/>
        </w:rPr>
        <w:t>о</w:t>
      </w:r>
      <w:r>
        <w:rPr>
          <w:color w:val="auto"/>
          <w:sz w:val="24"/>
          <w:szCs w:val="24"/>
        </w:rPr>
        <w:t xml:space="preserve"> наблюдается в июле месяце.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В течение года преобладают ветры южного и юго-западного направлений, в меньшей степени северного направления. Средняя скорость ветра составляет 3 м/сек. Сильные ветры более 20 м/сек отмечаются около 20 дней за год. </w:t>
      </w:r>
    </w:p>
    <w:p>
      <w:pPr>
        <w:pStyle w:val="Normal"/>
        <w:tabs>
          <w:tab w:val="clear" w:pos="708"/>
          <w:tab w:val="left" w:pos="426" w:leader="none"/>
        </w:tabs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С начала отопительного периода 2023-2024 г.г. источником теплоснабжения объектов Опытненского сельсовета является Абаканская ТЭЦ. </w:t>
      </w:r>
    </w:p>
    <w:p>
      <w:pPr>
        <w:pStyle w:val="Normal"/>
        <w:tabs>
          <w:tab w:val="clear" w:pos="708"/>
          <w:tab w:val="left" w:pos="426" w:leader="none"/>
        </w:tabs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С октября 2023 года котельные №1 и №2 с. Зеленое, в результате замещения и переключения потребителей к теплоснабжению от Абаканской ТЭЦ, были выведены из эксплуатации.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Абаканская ТЭЦ является крупнейшим предприятием тепловой энергетики Республики Хакасия, обеспечивающим теплом жилой фонд городов Абакана, Черногорска, Усть-Абаканского района (пгт. Усть-Абакан, с. Зеленое, п. Тепличный и п. Расцвет).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Установленная тепловая мощность станции составляет – 920 Гкал/час. В качестве основного топлива используется бурый уголь Ирша-Бородинского разреза Канско-Ачинского месторождения. Растопочное топливо - мазут. </w:t>
      </w:r>
    </w:p>
    <w:p>
      <w:pPr>
        <w:pStyle w:val="Normal"/>
        <w:widowControl/>
        <w:suppressAutoHyphens w:val="true"/>
        <w:bidi w:val="0"/>
        <w:spacing w:before="52" w:after="52"/>
        <w:ind w:left="0" w:right="0" w:firstLine="737"/>
        <w:jc w:val="both"/>
        <w:rPr>
          <w:color w:val="auto"/>
        </w:rPr>
      </w:pPr>
      <w:r>
        <w:rPr>
          <w:b w:val="false"/>
          <w:bCs w:val="false"/>
          <w:color w:val="auto"/>
          <w:sz w:val="24"/>
          <w:szCs w:val="24"/>
        </w:rPr>
        <w:t>Потребители тепловой энергии на территории с.Зеленое - многоквартирные дома (2 и 5-этажные дома по ул. Садовая и ул. Гагарина), часть индивидуальных домов по ул. 40 лет Победы, ул. Прянишникова, ул. Хакасская, ул. Гагарина, ул.Мира, ул. Пантелеева, индивидуальны</w:t>
      </w:r>
      <w:r>
        <w:rPr>
          <w:rFonts w:eastAsia="Times New Roman" w:cs="Times New Roman"/>
          <w:b w:val="false"/>
          <w:bCs w:val="false"/>
          <w:color w:val="auto"/>
          <w:kern w:val="0"/>
          <w:sz w:val="24"/>
          <w:szCs w:val="24"/>
          <w:lang w:val="ru-RU" w:eastAsia="ru-RU" w:bidi="ar-SA"/>
        </w:rPr>
        <w:t xml:space="preserve">е </w:t>
      </w:r>
      <w:r>
        <w:rPr>
          <w:b w:val="false"/>
          <w:bCs w:val="false"/>
          <w:color w:val="auto"/>
          <w:sz w:val="24"/>
          <w:szCs w:val="24"/>
        </w:rPr>
        <w:t>дом</w:t>
      </w:r>
      <w:r>
        <w:rPr>
          <w:rFonts w:eastAsia="Times New Roman" w:cs="Times New Roman"/>
          <w:b w:val="false"/>
          <w:bCs w:val="false"/>
          <w:color w:val="auto"/>
          <w:kern w:val="0"/>
          <w:sz w:val="24"/>
          <w:szCs w:val="24"/>
          <w:lang w:val="ru-RU" w:eastAsia="ru-RU" w:bidi="ar-SA"/>
        </w:rPr>
        <w:t>а</w:t>
      </w:r>
      <w:r>
        <w:rPr>
          <w:b w:val="false"/>
          <w:bCs w:val="false"/>
          <w:color w:val="auto"/>
          <w:sz w:val="24"/>
          <w:szCs w:val="24"/>
        </w:rPr>
        <w:t xml:space="preserve"> по переулку Молодежному, здания школы, детского сада, НИИ АПХ, ДК «Колос».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Часть индивидуального жилищного фонда также использует автономные источники теплоснабжения.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Транспорт тепла от ТЭЦ до потребителей осуществляется по магистральным и квартальным тепловым сетям. Схема тепловых сетей – двухтрубная. Основной тип изоляции трубопроводов – минеральная вата, основной тип прокладки – подземная, в каналах.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С 07.11.2022 г. между Муниципальным образованием Усть-Абаканский район Республики Хакасия и Акционерным обществом «Абаканская ТЭЦ» заключено Концессионное соглашение на срок до 31.12.2037 года. Согласно данному соглашению АО «Абаканская ТЭЦ» осуществляет проектирование, создание и (или) реконструкцию, ввод в эксплуатацию объектов теплоснабжения, использует (эксплуатирует), ремонтирует объекты теплоснабжения, в целях осуществления деятельности по передаче, распределению тепловой энергии и горячей воды в Муниципальном образовании Опытненский сельсовет.</w:t>
      </w:r>
    </w:p>
    <w:p>
      <w:pPr>
        <w:sectPr>
          <w:type w:val="nextPage"/>
          <w:pgSz w:w="11906" w:h="16838"/>
          <w:pgMar w:left="993" w:right="566" w:gutter="0" w:header="0" w:top="709" w:footer="0" w:bottom="1134"/>
          <w:pgNumType w:fmt="decimal"/>
          <w:formProt w:val="false"/>
          <w:textDirection w:val="lrTb"/>
          <w:docGrid w:type="default" w:linePitch="360" w:charSpace="0"/>
        </w:sect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Схема теплоснабжения с. Зеленое представлена на рисунках 1, 2.</w:t>
      </w:r>
    </w:p>
    <w:p>
      <w:pPr>
        <w:pStyle w:val="Normal"/>
        <w:keepNext w:val="true"/>
        <w:ind w:hanging="567"/>
        <w:jc w:val="both"/>
        <w:rPr>
          <w:sz w:val="24"/>
          <w:szCs w:val="24"/>
        </w:rPr>
      </w:pPr>
      <w:r>
        <w:rPr/>
        <mc:AlternateContent>
          <mc:Choice Requires="wps">
            <w:drawing>
              <wp:anchor behindDoc="0" distT="0" distB="0" distL="0" distR="0" simplePos="0" locked="0" layoutInCell="0" allowOverlap="1" relativeHeight="6">
                <wp:simplePos x="0" y="0"/>
                <wp:positionH relativeFrom="column">
                  <wp:posOffset>4058920</wp:posOffset>
                </wp:positionH>
                <wp:positionV relativeFrom="paragraph">
                  <wp:posOffset>5522595</wp:posOffset>
                </wp:positionV>
                <wp:extent cx="1183005" cy="260350"/>
                <wp:effectExtent l="0" t="0" r="0" b="0"/>
                <wp:wrapNone/>
                <wp:docPr id="1" name="Изображение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2240" cy="2595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21"/>
                              <w:rPr>
                                <w:b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  <w:szCs w:val="20"/>
                              </w:rPr>
                              <w:t>Абаканская ТЭЦ</w:t>
                            </w:r>
                          </w:p>
                          <w:p>
                            <w:pPr>
                              <w:pStyle w:val="Style21"/>
                              <w:rPr>
                                <w:b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</w:rPr>
                            </w:r>
                          </w:p>
                        </w:txbxContent>
                      </wps:txbx>
                      <wps:bodyPr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Изображение1" path="m0,0l-2147483645,0l-2147483645,-2147483646l0,-2147483646xe" stroked="f" o:allowincell="f" style="position:absolute;margin-left:319.6pt;margin-top:434.85pt;width:93.05pt;height:20.4pt;mso-wrap-style:square;v-text-anchor:top">
                <v:fill o:detectmouseclick="t" on="false"/>
                <v:stroke color="#3465a4" joinstyle="round" endcap="flat"/>
                <v:textbox>
                  <w:txbxContent>
                    <w:p>
                      <w:pPr>
                        <w:pStyle w:val="Style21"/>
                        <w:rPr>
                          <w:b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000000"/>
                          <w:sz w:val="20"/>
                          <w:szCs w:val="20"/>
                        </w:rPr>
                        <w:t>Абаканская ТЭЦ</w:t>
                      </w:r>
                    </w:p>
                    <w:p>
                      <w:pPr>
                        <w:pStyle w:val="Style21"/>
                        <w:rPr>
                          <w:b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</w:rPr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10">
                <wp:simplePos x="0" y="0"/>
                <wp:positionH relativeFrom="column">
                  <wp:posOffset>3732530</wp:posOffset>
                </wp:positionH>
                <wp:positionV relativeFrom="paragraph">
                  <wp:posOffset>67310</wp:posOffset>
                </wp:positionV>
                <wp:extent cx="892175" cy="262255"/>
                <wp:effectExtent l="0" t="0" r="0" b="0"/>
                <wp:wrapNone/>
                <wp:docPr id="3" name="Изображение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1720" cy="2617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21"/>
                              <w:rPr>
                                <w:b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  <w:szCs w:val="20"/>
                              </w:rPr>
                              <w:t>с. Зеленое</w:t>
                            </w:r>
                          </w:p>
                          <w:p>
                            <w:pPr>
                              <w:pStyle w:val="Style21"/>
                              <w:rPr>
                                <w:b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</w:rPr>
                            </w:r>
                          </w:p>
                        </w:txbxContent>
                      </wps:txbx>
                      <wps:bodyPr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Изображение2" path="m0,0l-2147483645,0l-2147483645,-2147483646l0,-2147483646xe" stroked="f" o:allowincell="f" style="position:absolute;margin-left:293.9pt;margin-top:5.3pt;width:70.15pt;height:20.55pt;mso-wrap-style:square;v-text-anchor:top">
                <v:fill o:detectmouseclick="t" on="false"/>
                <v:stroke color="#3465a4" joinstyle="round" endcap="flat"/>
                <v:textbox>
                  <w:txbxContent>
                    <w:p>
                      <w:pPr>
                        <w:pStyle w:val="Style21"/>
                        <w:rPr>
                          <w:b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000000"/>
                          <w:sz w:val="20"/>
                          <w:szCs w:val="20"/>
                        </w:rPr>
                        <w:t>с. Зеленое</w:t>
                      </w:r>
                    </w:p>
                    <w:p>
                      <w:pPr>
                        <w:pStyle w:val="Style21"/>
                        <w:rPr>
                          <w:b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</w:rPr>
                      </w:r>
                    </w:p>
                  </w:txbxContent>
                </v:textbox>
                <w10:wrap type="none"/>
              </v:rect>
            </w:pict>
          </mc:Fallback>
        </mc:AlternateContent>
        <w:drawing>
          <wp:inline distT="0" distB="0" distL="0" distR="0">
            <wp:extent cx="9572625" cy="5795645"/>
            <wp:effectExtent l="0" t="0" r="0" b="0"/>
            <wp:docPr id="5" name="Рисунок 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8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2032" t="12909" r="21427" b="4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2625" cy="579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aption"/>
        <w:jc w:val="center"/>
        <w:rPr>
          <w:sz w:val="22"/>
          <w:szCs w:val="24"/>
        </w:rPr>
      </w:pPr>
      <w:r>
        <w:rPr>
          <w:sz w:val="24"/>
        </w:rPr>
        <w:t xml:space="preserve">Рисунок </w:t>
      </w:r>
      <w:r>
        <w:rPr>
          <w:sz w:val="24"/>
        </w:rPr>
        <w:fldChar w:fldCharType="begin"/>
      </w:r>
      <w:r>
        <w:rPr>
          <w:sz w:val="24"/>
        </w:rPr>
        <w:instrText> SEQ Рисунок \* ARABIC </w:instrText>
      </w:r>
      <w:r>
        <w:rPr>
          <w:sz w:val="24"/>
        </w:rPr>
        <w:fldChar w:fldCharType="separate"/>
      </w:r>
      <w:r>
        <w:rPr>
          <w:sz w:val="24"/>
        </w:rPr>
        <w:t>1</w:t>
      </w:r>
      <w:r>
        <w:rPr>
          <w:sz w:val="24"/>
        </w:rPr>
        <w:fldChar w:fldCharType="end"/>
      </w:r>
      <w:r>
        <w:rPr>
          <w:sz w:val="24"/>
        </w:rPr>
        <w:t>. Схема теплоснабжения с. Зеленое</w:t>
      </w:r>
    </w:p>
    <w:p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keepNext w:val="true"/>
        <w:ind w:firstLine="709"/>
        <w:jc w:val="center"/>
        <w:rPr>
          <w:sz w:val="24"/>
          <w:szCs w:val="24"/>
        </w:rPr>
      </w:pPr>
      <w:r>
        <w:rPr/>
        <mc:AlternateContent>
          <mc:Choice Requires="wps">
            <w:drawing>
              <wp:anchor behindDoc="0" distT="0" distB="0" distL="0" distR="0" simplePos="0" locked="0" layoutInCell="0" allowOverlap="1" relativeHeight="8">
                <wp:simplePos x="0" y="0"/>
                <wp:positionH relativeFrom="column">
                  <wp:posOffset>2976245</wp:posOffset>
                </wp:positionH>
                <wp:positionV relativeFrom="paragraph">
                  <wp:posOffset>4744720</wp:posOffset>
                </wp:positionV>
                <wp:extent cx="1024890" cy="262255"/>
                <wp:effectExtent l="0" t="0" r="0" b="0"/>
                <wp:wrapNone/>
                <wp:docPr id="6" name="Изображение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4200" cy="2617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21"/>
                              <w:rPr>
                                <w:b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  <w:szCs w:val="20"/>
                              </w:rPr>
                              <w:t>ЦТП</w:t>
                            </w:r>
                          </w:p>
                          <w:p>
                            <w:pPr>
                              <w:pStyle w:val="Style21"/>
                              <w:rPr>
                                <w:b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</w:rPr>
                            </w:r>
                          </w:p>
                        </w:txbxContent>
                      </wps:txbx>
                      <wps:bodyPr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Изображение4" path="m0,0l-2147483645,0l-2147483645,-2147483646l0,-2147483646xe" stroked="f" o:allowincell="f" style="position:absolute;margin-left:234.35pt;margin-top:373.6pt;width:80.6pt;height:20.55pt;mso-wrap-style:square;v-text-anchor:top">
                <v:fill o:detectmouseclick="t" on="false"/>
                <v:stroke color="#3465a4" joinstyle="round" endcap="flat"/>
                <v:textbox>
                  <w:txbxContent>
                    <w:p>
                      <w:pPr>
                        <w:pStyle w:val="Style21"/>
                        <w:rPr>
                          <w:b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000000"/>
                          <w:sz w:val="20"/>
                          <w:szCs w:val="20"/>
                        </w:rPr>
                        <w:t>ЦТП</w:t>
                      </w:r>
                    </w:p>
                    <w:p>
                      <w:pPr>
                        <w:pStyle w:val="Style21"/>
                        <w:rPr>
                          <w:b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</w:rPr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12">
                <wp:simplePos x="0" y="0"/>
                <wp:positionH relativeFrom="column">
                  <wp:posOffset>4290695</wp:posOffset>
                </wp:positionH>
                <wp:positionV relativeFrom="paragraph">
                  <wp:posOffset>2144395</wp:posOffset>
                </wp:positionV>
                <wp:extent cx="1024890" cy="262255"/>
                <wp:effectExtent l="0" t="0" r="0" b="0"/>
                <wp:wrapNone/>
                <wp:docPr id="8" name="Изображение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4200" cy="2617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21"/>
                              <w:rPr>
                                <w:b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  <w:szCs w:val="20"/>
                              </w:rPr>
                              <w:t>ЦТП</w:t>
                            </w:r>
                          </w:p>
                          <w:p>
                            <w:pPr>
                              <w:pStyle w:val="Style21"/>
                              <w:rPr>
                                <w:b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</w:rPr>
                            </w:r>
                          </w:p>
                        </w:txbxContent>
                      </wps:txbx>
                      <wps:bodyPr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Изображение3" path="m0,0l-2147483645,0l-2147483645,-2147483646l0,-2147483646xe" stroked="f" o:allowincell="f" style="position:absolute;margin-left:337.85pt;margin-top:168.85pt;width:80.6pt;height:20.55pt;mso-wrap-style:square;v-text-anchor:top">
                <v:fill o:detectmouseclick="t" on="false"/>
                <v:stroke color="#3465a4" joinstyle="round" endcap="flat"/>
                <v:textbox>
                  <w:txbxContent>
                    <w:p>
                      <w:pPr>
                        <w:pStyle w:val="Style21"/>
                        <w:rPr>
                          <w:b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000000"/>
                          <w:sz w:val="20"/>
                          <w:szCs w:val="20"/>
                        </w:rPr>
                        <w:t>ЦТП</w:t>
                      </w:r>
                    </w:p>
                    <w:p>
                      <w:pPr>
                        <w:pStyle w:val="Style21"/>
                        <w:rPr>
                          <w:b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</w:rPr>
                      </w:r>
                    </w:p>
                  </w:txbxContent>
                </v:textbox>
                <w10:wrap type="none"/>
              </v:rect>
            </w:pict>
          </mc:Fallback>
        </mc:AlternateContent>
        <w:drawing>
          <wp:inline distT="0" distB="0" distL="0" distR="0">
            <wp:extent cx="8438515" cy="5638800"/>
            <wp:effectExtent l="0" t="0" r="0" b="0"/>
            <wp:docPr id="10" name="Рисунок 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9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17950" t="17708" r="23302" b="12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8515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orient="landscape" w:w="16838" w:h="11906"/>
          <w:pgMar w:left="1134" w:right="1134" w:gutter="0" w:header="0" w:top="709" w:footer="0" w:bottom="850"/>
          <w:pgNumType w:fmt="decimal"/>
          <w:formProt w:val="false"/>
          <w:textDirection w:val="lrTb"/>
          <w:docGrid w:type="default" w:linePitch="360" w:charSpace="0"/>
        </w:sectPr>
        <w:pStyle w:val="Caption"/>
        <w:jc w:val="center"/>
        <w:rPr>
          <w:sz w:val="22"/>
          <w:szCs w:val="24"/>
          <w:highlight w:val="green"/>
        </w:rPr>
      </w:pPr>
      <w:r>
        <w:rPr>
          <w:sz w:val="24"/>
        </w:rPr>
        <w:t xml:space="preserve">Рисунок </w:t>
      </w:r>
      <w:r>
        <w:rPr>
          <w:sz w:val="24"/>
        </w:rPr>
        <w:fldChar w:fldCharType="begin"/>
      </w:r>
      <w:r>
        <w:rPr>
          <w:sz w:val="24"/>
        </w:rPr>
        <w:instrText> SEQ Рисунок \* ARABIC </w:instrText>
      </w:r>
      <w:r>
        <w:rPr>
          <w:sz w:val="24"/>
        </w:rPr>
        <w:fldChar w:fldCharType="separate"/>
      </w:r>
      <w:r>
        <w:rPr>
          <w:sz w:val="24"/>
        </w:rPr>
        <w:t>2</w:t>
      </w:r>
      <w:r>
        <w:rPr>
          <w:sz w:val="24"/>
        </w:rPr>
        <w:fldChar w:fldCharType="end"/>
      </w:r>
      <w:r>
        <w:rPr>
          <w:sz w:val="24"/>
        </w:rPr>
        <w:t>. Схема теплоснабжения с. Зеленое</w:t>
      </w:r>
    </w:p>
    <w:p>
      <w:pPr>
        <w:pStyle w:val="Normal"/>
        <w:ind w:firstLine="709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Часть 2 «Источники тепловой энергии»</w:t>
      </w:r>
    </w:p>
    <w:p>
      <w:pPr>
        <w:pStyle w:val="Normal"/>
        <w:ind w:firstLine="709"/>
        <w:jc w:val="both"/>
        <w:rPr>
          <w:color w:val="auto"/>
          <w:sz w:val="24"/>
          <w:szCs w:val="24"/>
          <w:highlight w:val="green"/>
        </w:rPr>
      </w:pPr>
      <w:r>
        <w:rPr>
          <w:color w:val="auto"/>
          <w:sz w:val="24"/>
          <w:szCs w:val="24"/>
          <w:highlight w:val="green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</w:rPr>
        <w:t>Источники тепловой энергии на территории Опытненского сельсовета отсутствуют.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На территории МО Опытненского сельсовета организована централизованная система теплоснабжения потребителей от Абаканской ТЭЦ.</w:t>
      </w:r>
    </w:p>
    <w:p>
      <w:pPr>
        <w:pStyle w:val="Normal"/>
        <w:ind w:firstLine="709"/>
        <w:jc w:val="both"/>
        <w:rPr>
          <w:color w:val="auto"/>
        </w:rPr>
      </w:pPr>
      <w:r>
        <w:rPr>
          <w:rFonts w:eastAsia="Calibri"/>
          <w:color w:val="auto"/>
          <w:sz w:val="24"/>
          <w:szCs w:val="24"/>
        </w:rPr>
        <w:t>На станции установлено:</w:t>
      </w:r>
    </w:p>
    <w:p>
      <w:pPr>
        <w:pStyle w:val="Normal"/>
        <w:ind w:firstLine="709"/>
        <w:jc w:val="both"/>
        <w:rPr>
          <w:color w:val="auto"/>
        </w:rPr>
      </w:pPr>
      <w:r>
        <w:rPr>
          <w:rFonts w:eastAsia="Calibri"/>
          <w:color w:val="auto"/>
          <w:sz w:val="24"/>
          <w:szCs w:val="24"/>
        </w:rPr>
        <w:t>1) Четыре энергетических котла типа БКЗ-420-140 ПТ-2 ст.№ 1, 2, 3, 4 паропроизводительностью 420 т/ч каждый и энергетический котёл Е-500-13,8-560-БТ ст.№ 5 паропроизводительностью 500 т/ч.</w:t>
      </w:r>
    </w:p>
    <w:p>
      <w:pPr>
        <w:pStyle w:val="Normal"/>
        <w:ind w:firstLine="709"/>
        <w:jc w:val="both"/>
        <w:rPr>
          <w:color w:val="auto"/>
        </w:rPr>
      </w:pPr>
      <w:r>
        <w:rPr>
          <w:rFonts w:eastAsia="Calibri"/>
          <w:color w:val="auto"/>
          <w:sz w:val="24"/>
          <w:szCs w:val="24"/>
        </w:rPr>
        <w:t>2) Четыре паровых турбины: ПТ-60-130/13-1,2 ст.№ 1; Т-110/120-130 ст. № 2; Т</w:t>
        <w:noBreakHyphen/>
        <w:t xml:space="preserve">110/120-130-5 ст. № 3 и КТ-136-12,8 ст. № 4.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Состав и характеристики основного оборудования Абаканской ТЭЦ представлены в таблицах 1,2.</w:t>
      </w:r>
    </w:p>
    <w:p>
      <w:pPr>
        <w:pStyle w:val="Normal"/>
        <w:ind w:firstLine="709"/>
        <w:jc w:val="both"/>
        <w:rPr>
          <w:color w:val="auto"/>
          <w:sz w:val="24"/>
          <w:szCs w:val="24"/>
          <w:highlight w:val="green"/>
        </w:rPr>
      </w:pPr>
      <w:r>
        <w:rPr>
          <w:color w:val="auto"/>
          <w:sz w:val="24"/>
          <w:szCs w:val="24"/>
          <w:highlight w:val="green"/>
        </w:rPr>
      </w:r>
    </w:p>
    <w:p>
      <w:pPr>
        <w:pStyle w:val="Caption"/>
        <w:spacing w:lineRule="auto" w:line="240" w:before="0" w:after="120"/>
        <w:rPr>
          <w:color w:val="auto"/>
        </w:rPr>
      </w:pPr>
      <w:r>
        <w:rPr>
          <w:color w:val="auto"/>
          <w:sz w:val="24"/>
          <w:szCs w:val="24"/>
        </w:rPr>
        <w:t xml:space="preserve">Таблица </w:t>
      </w:r>
      <w:r>
        <w:rPr>
          <w:color w:val="auto"/>
          <w:sz w:val="24"/>
          <w:szCs w:val="24"/>
        </w:rPr>
        <w:fldChar w:fldCharType="begin"/>
      </w:r>
      <w:r>
        <w:rPr>
          <w:sz w:val="24"/>
          <w:szCs w:val="24"/>
          <w:color w:val="auto"/>
        </w:rPr>
        <w:instrText> SEQ Таблица \* ARABIC </w:instrText>
      </w:r>
      <w:r>
        <w:rPr>
          <w:sz w:val="24"/>
          <w:szCs w:val="24"/>
          <w:color w:val="auto"/>
        </w:rPr>
        <w:fldChar w:fldCharType="separate"/>
      </w:r>
      <w:r>
        <w:rPr>
          <w:sz w:val="24"/>
          <w:szCs w:val="24"/>
          <w:color w:val="auto"/>
        </w:rPr>
        <w:t>1</w:t>
      </w:r>
      <w:r>
        <w:rPr>
          <w:sz w:val="24"/>
          <w:szCs w:val="24"/>
          <w:color w:val="auto"/>
        </w:rPr>
        <w:fldChar w:fldCharType="end"/>
      </w:r>
      <w:r>
        <w:rPr>
          <w:color w:val="auto"/>
          <w:sz w:val="24"/>
          <w:szCs w:val="24"/>
        </w:rPr>
        <w:t>. Состав и состояние парка турбинного оборудования</w:t>
      </w:r>
    </w:p>
    <w:tbl>
      <w:tblPr>
        <w:tblpPr w:bottomFromText="0" w:horzAnchor="margin" w:leftFromText="180" w:rightFromText="180" w:tblpX="0" w:tblpXSpec="center" w:tblpY="57" w:topFromText="0" w:vertAnchor="text"/>
        <w:tblW w:w="5000" w:type="pct"/>
        <w:jc w:val="center"/>
        <w:tblInd w:w="0" w:type="dxa"/>
        <w:tblLayout w:type="fixed"/>
        <w:tblCellMar>
          <w:top w:w="20" w:type="dxa"/>
          <w:left w:w="20" w:type="dxa"/>
          <w:bottom w:w="0" w:type="dxa"/>
          <w:right w:w="20" w:type="dxa"/>
        </w:tblCellMar>
        <w:tblLook w:firstRow="0" w:noVBand="0" w:lastRow="0" w:firstColumn="0" w:lastColumn="0" w:noHBand="0" w:val="0000"/>
      </w:tblPr>
      <w:tblGrid>
        <w:gridCol w:w="603"/>
        <w:gridCol w:w="1893"/>
        <w:gridCol w:w="3324"/>
        <w:gridCol w:w="1190"/>
        <w:gridCol w:w="1456"/>
        <w:gridCol w:w="1312"/>
      </w:tblGrid>
      <w:tr>
        <w:trPr>
          <w:trHeight w:val="1526" w:hRule="atLeast"/>
        </w:trPr>
        <w:tc>
          <w:tcPr>
            <w:tcW w:w="6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Тур-бина</w:t>
            </w:r>
          </w:p>
        </w:tc>
        <w:tc>
          <w:tcPr>
            <w:tcW w:w="1893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Тип (марка) турбины</w:t>
            </w:r>
          </w:p>
        </w:tc>
        <w:tc>
          <w:tcPr>
            <w:tcW w:w="3324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Завод изготовитель</w:t>
            </w:r>
          </w:p>
        </w:tc>
        <w:tc>
          <w:tcPr>
            <w:tcW w:w="1190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Дата ввода</w:t>
            </w:r>
          </w:p>
        </w:tc>
        <w:tc>
          <w:tcPr>
            <w:tcW w:w="1456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Установленная электрическая мощность, МВт</w:t>
            </w:r>
          </w:p>
        </w:tc>
        <w:tc>
          <w:tcPr>
            <w:tcW w:w="1312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Установленная тепловая мощность, Гкал/час.</w:t>
            </w:r>
          </w:p>
        </w:tc>
      </w:tr>
      <w:tr>
        <w:trPr>
          <w:trHeight w:val="719" w:hRule="atLeast"/>
          <w:cantSplit w:val="true"/>
        </w:trPr>
        <w:tc>
          <w:tcPr>
            <w:tcW w:w="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ПТ-60-130/13-1,2</w:t>
            </w:r>
          </w:p>
        </w:tc>
        <w:tc>
          <w:tcPr>
            <w:tcW w:w="332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Ленинградский металлический завод, АО, г. С.-Петербург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01.04.1983</w:t>
            </w:r>
          </w:p>
        </w:tc>
        <w:tc>
          <w:tcPr>
            <w:tcW w:w="14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60</w:t>
            </w:r>
          </w:p>
        </w:tc>
        <w:tc>
          <w:tcPr>
            <w:tcW w:w="13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131</w:t>
            </w:r>
          </w:p>
        </w:tc>
      </w:tr>
      <w:tr>
        <w:trPr>
          <w:trHeight w:val="646" w:hRule="atLeast"/>
          <w:cantSplit w:val="true"/>
        </w:trPr>
        <w:tc>
          <w:tcPr>
            <w:tcW w:w="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Т-110/120-130-4</w:t>
            </w:r>
          </w:p>
        </w:tc>
        <w:tc>
          <w:tcPr>
            <w:tcW w:w="332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 xml:space="preserve">Турбомоторный завод, АО, </w:t>
              <w:br/>
              <w:t>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09.01.1985</w:t>
            </w:r>
          </w:p>
        </w:tc>
        <w:tc>
          <w:tcPr>
            <w:tcW w:w="14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109,92</w:t>
            </w:r>
          </w:p>
        </w:tc>
        <w:tc>
          <w:tcPr>
            <w:tcW w:w="13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165</w:t>
            </w:r>
          </w:p>
        </w:tc>
      </w:tr>
      <w:tr>
        <w:trPr>
          <w:trHeight w:val="50" w:hRule="atLeast"/>
          <w:cantSplit w:val="true"/>
        </w:trPr>
        <w:tc>
          <w:tcPr>
            <w:tcW w:w="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Т-110/120-130-5</w:t>
            </w:r>
          </w:p>
        </w:tc>
        <w:tc>
          <w:tcPr>
            <w:tcW w:w="332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 xml:space="preserve">Турбомоторный завод, АО, </w:t>
              <w:br/>
              <w:t>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22.12.1989</w:t>
            </w:r>
          </w:p>
        </w:tc>
        <w:tc>
          <w:tcPr>
            <w:tcW w:w="14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110</w:t>
            </w:r>
          </w:p>
        </w:tc>
        <w:tc>
          <w:tcPr>
            <w:tcW w:w="13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165</w:t>
            </w:r>
          </w:p>
        </w:tc>
      </w:tr>
      <w:tr>
        <w:trPr>
          <w:trHeight w:val="192" w:hRule="atLeast"/>
          <w:cantSplit w:val="true"/>
        </w:trPr>
        <w:tc>
          <w:tcPr>
            <w:tcW w:w="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КТ-136-12,8</w:t>
            </w:r>
          </w:p>
        </w:tc>
        <w:tc>
          <w:tcPr>
            <w:tcW w:w="332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Уральский турбинный завод (УТЗ)</w:t>
            </w:r>
            <w:r>
              <w:rPr>
                <w:color w:val="auto"/>
                <w:sz w:val="24"/>
                <w:szCs w:val="24"/>
              </w:rPr>
              <w:t xml:space="preserve"> </w:t>
            </w:r>
            <w:r>
              <w:rPr>
                <w:rFonts w:eastAsia="Arial Unicode MS"/>
                <w:color w:val="auto"/>
                <w:sz w:val="24"/>
                <w:szCs w:val="24"/>
              </w:rPr>
              <w:t>ЗАО, 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14.06.2014</w:t>
            </w:r>
          </w:p>
        </w:tc>
        <w:tc>
          <w:tcPr>
            <w:tcW w:w="14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136</w:t>
            </w:r>
          </w:p>
        </w:tc>
        <w:tc>
          <w:tcPr>
            <w:tcW w:w="13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eastAsia="Arial Unicode MS"/>
                <w:color w:val="auto"/>
                <w:sz w:val="24"/>
                <w:szCs w:val="24"/>
              </w:rPr>
            </w:pPr>
            <w:r>
              <w:rPr>
                <w:rFonts w:eastAsia="Arial Unicode MS"/>
                <w:color w:val="auto"/>
                <w:sz w:val="24"/>
                <w:szCs w:val="24"/>
              </w:rPr>
              <w:t>75</w:t>
            </w:r>
          </w:p>
        </w:tc>
      </w:tr>
    </w:tbl>
    <w:p>
      <w:pPr>
        <w:pStyle w:val="Normal"/>
        <w:spacing w:lineRule="auto" w:line="360"/>
        <w:ind w:firstLine="709"/>
        <w:jc w:val="both"/>
        <w:rPr>
          <w:rFonts w:eastAsia="Calibri"/>
          <w:color w:val="auto"/>
          <w:sz w:val="24"/>
          <w:szCs w:val="24"/>
          <w:highlight w:val="green"/>
        </w:rPr>
      </w:pPr>
      <w:r>
        <w:rPr>
          <w:rFonts w:eastAsia="Calibri"/>
          <w:color w:val="auto"/>
          <w:sz w:val="24"/>
          <w:szCs w:val="24"/>
          <w:highlight w:val="green"/>
        </w:rPr>
      </w:r>
    </w:p>
    <w:p>
      <w:pPr>
        <w:pStyle w:val="Caption"/>
        <w:spacing w:lineRule="auto" w:line="240" w:before="0" w:after="120"/>
        <w:rPr>
          <w:color w:val="auto"/>
        </w:rPr>
      </w:pPr>
      <w:r>
        <w:rPr>
          <w:color w:val="auto"/>
          <w:sz w:val="24"/>
          <w:szCs w:val="24"/>
        </w:rPr>
        <w:t xml:space="preserve">Таблица </w:t>
      </w:r>
      <w:r>
        <w:rPr>
          <w:color w:val="auto"/>
          <w:sz w:val="24"/>
          <w:szCs w:val="24"/>
        </w:rPr>
        <w:fldChar w:fldCharType="begin"/>
      </w:r>
      <w:r>
        <w:rPr>
          <w:sz w:val="24"/>
          <w:szCs w:val="24"/>
          <w:color w:val="auto"/>
        </w:rPr>
        <w:instrText> SEQ Таблица \* ARABIC </w:instrText>
      </w:r>
      <w:r>
        <w:rPr>
          <w:sz w:val="24"/>
          <w:szCs w:val="24"/>
          <w:color w:val="auto"/>
        </w:rPr>
        <w:fldChar w:fldCharType="separate"/>
      </w:r>
      <w:r>
        <w:rPr>
          <w:sz w:val="24"/>
          <w:szCs w:val="24"/>
          <w:color w:val="auto"/>
        </w:rPr>
        <w:t>2</w:t>
      </w:r>
      <w:r>
        <w:rPr>
          <w:sz w:val="24"/>
          <w:szCs w:val="24"/>
          <w:color w:val="auto"/>
        </w:rPr>
        <w:fldChar w:fldCharType="end"/>
      </w:r>
      <w:r>
        <w:rPr>
          <w:color w:val="auto"/>
          <w:sz w:val="24"/>
          <w:szCs w:val="24"/>
        </w:rPr>
        <w:t>. Состав и состояние парка котельного оборудования (котлы паровые энергетические)</w:t>
      </w:r>
    </w:p>
    <w:tbl>
      <w:tblPr>
        <w:tblpPr w:bottomFromText="0" w:horzAnchor="text" w:leftFromText="180" w:rightFromText="180" w:tblpX="0" w:tblpXSpec="center" w:tblpY="1" w:topFromText="0" w:vertAnchor="text"/>
        <w:tblW w:w="5000" w:type="pct"/>
        <w:jc w:val="center"/>
        <w:tblInd w:w="0" w:type="dxa"/>
        <w:tblLayout w:type="fixed"/>
        <w:tblCellMar>
          <w:top w:w="15" w:type="dxa"/>
          <w:left w:w="15" w:type="dxa"/>
          <w:bottom w:w="0" w:type="dxa"/>
          <w:right w:w="15" w:type="dxa"/>
        </w:tblCellMar>
        <w:tblLook w:firstRow="0" w:noVBand="0" w:lastRow="0" w:firstColumn="0" w:lastColumn="0" w:noHBand="0" w:val="0000"/>
      </w:tblPr>
      <w:tblGrid>
        <w:gridCol w:w="2027"/>
        <w:gridCol w:w="1003"/>
        <w:gridCol w:w="862"/>
        <w:gridCol w:w="1007"/>
        <w:gridCol w:w="1294"/>
        <w:gridCol w:w="1006"/>
        <w:gridCol w:w="860"/>
        <w:gridCol w:w="865"/>
        <w:gridCol w:w="854"/>
      </w:tblGrid>
      <w:tr>
        <w:trPr>
          <w:trHeight w:val="751" w:hRule="atLeast"/>
          <w:cantSplit w:val="true"/>
        </w:trPr>
        <w:tc>
          <w:tcPr>
            <w:tcW w:w="20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Тип (марка) котла</w:t>
            </w:r>
          </w:p>
        </w:tc>
        <w:tc>
          <w:tcPr>
            <w:tcW w:w="18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параметры острого пара</w:t>
            </w:r>
          </w:p>
        </w:tc>
        <w:tc>
          <w:tcPr>
            <w:tcW w:w="10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Производительность, т/час</w:t>
            </w:r>
          </w:p>
        </w:tc>
        <w:tc>
          <w:tcPr>
            <w:tcW w:w="12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Дата ввода</w:t>
            </w:r>
          </w:p>
        </w:tc>
        <w:tc>
          <w:tcPr>
            <w:tcW w:w="10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Завод изго-товитель</w:t>
            </w:r>
          </w:p>
        </w:tc>
        <w:tc>
          <w:tcPr>
            <w:tcW w:w="2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ind w:right="268" w:hanging="0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 </w:t>
            </w:r>
            <w:r>
              <w:rPr>
                <w:color w:val="auto"/>
                <w:sz w:val="24"/>
                <w:szCs w:val="24"/>
              </w:rPr>
              <w:t>Топливо</w:t>
            </w:r>
          </w:p>
        </w:tc>
      </w:tr>
      <w:tr>
        <w:trPr>
          <w:trHeight w:val="758" w:hRule="atLeast"/>
          <w:cantSplit w:val="true"/>
        </w:trPr>
        <w:tc>
          <w:tcPr>
            <w:tcW w:w="202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" w:type="dxa"/>
              <w:right w:w="5" w:type="dxa"/>
            </w:tcMar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Давление, кгс/см²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Температура, °С</w:t>
            </w:r>
          </w:p>
        </w:tc>
        <w:tc>
          <w:tcPr>
            <w:tcW w:w="100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" w:type="dxa"/>
              <w:right w:w="5" w:type="dxa"/>
            </w:tcMar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  <w:tc>
          <w:tcPr>
            <w:tcW w:w="1294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" w:type="dxa"/>
              <w:right w:w="5" w:type="dxa"/>
            </w:tcMar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  <w:tc>
          <w:tcPr>
            <w:tcW w:w="100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" w:type="dxa"/>
              <w:right w:w="5" w:type="dxa"/>
            </w:tcMar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основное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резервное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проектное</w:t>
            </w:r>
          </w:p>
        </w:tc>
      </w:tr>
      <w:tr>
        <w:trPr>
          <w:trHeight w:val="175" w:hRule="atLeast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БКЗ-420-140-ПТ-2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140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560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01.04.1983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</w:tr>
      <w:tr>
        <w:trPr>
          <w:trHeight w:val="175" w:hRule="atLeast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БКЗ-420-140-ПТ-2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140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560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09.01.1985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</w:tr>
      <w:tr>
        <w:trPr>
          <w:trHeight w:val="175" w:hRule="atLeast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БКЗ-420-140-ПТ-2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140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560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22.12.1989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</w:tr>
      <w:tr>
        <w:trPr>
          <w:trHeight w:val="175" w:hRule="atLeast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БКЗ-420-140-ПТ-2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140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560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22.01.2004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</w:tr>
      <w:tr>
        <w:trPr>
          <w:trHeight w:val="175" w:hRule="atLeast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Е-500-13,8-560-БТ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140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560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500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14.06.2014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</w:t>
            </w:r>
          </w:p>
        </w:tc>
      </w:tr>
    </w:tbl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Регулирование отпуска тепловой энергии — качественное. Задание температуры теплоносителя в тепловой сети осуществляется диспетчером тепловой сети теплоснабжающей организации. </w:t>
      </w:r>
      <w:r>
        <w:rPr>
          <w:color w:val="auto"/>
        </w:rPr>
        <w:t>Утвержденный график качественного регулирования отпуска тепловой энергии представлен на рисунке ниже</w:t>
      </w:r>
      <w:r>
        <w:rPr>
          <w:color w:val="auto"/>
          <w:sz w:val="24"/>
          <w:szCs w:val="24"/>
        </w:rPr>
        <w:t>.</w:t>
      </w:r>
    </w:p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keepNext w:val="true"/>
        <w:ind w:firstLine="709"/>
        <w:jc w:val="both"/>
        <w:rPr>
          <w:sz w:val="24"/>
          <w:szCs w:val="24"/>
          <w:highlight w:val="green"/>
        </w:rPr>
      </w:pPr>
      <w:r>
        <w:rPr/>
        <w:drawing>
          <wp:inline distT="0" distB="0" distL="0" distR="0">
            <wp:extent cx="6009640" cy="7844155"/>
            <wp:effectExtent l="0" t="0" r="0" b="0"/>
            <wp:docPr id="11" name="Рисунок 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2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0" t="1377" r="0" b="5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640" cy="78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aption"/>
        <w:spacing w:lineRule="auto" w:line="240" w:before="0" w:after="120"/>
        <w:jc w:val="center"/>
        <w:rPr>
          <w:color w:val="auto"/>
        </w:rPr>
      </w:pPr>
      <w:r>
        <w:rPr>
          <w:color w:val="auto"/>
          <w:sz w:val="24"/>
          <w:szCs w:val="24"/>
        </w:rPr>
        <w:t xml:space="preserve">Рисунок </w:t>
      </w:r>
      <w:r>
        <w:rPr>
          <w:color w:val="auto"/>
          <w:sz w:val="24"/>
          <w:szCs w:val="24"/>
        </w:rPr>
        <w:fldChar w:fldCharType="begin"/>
      </w:r>
      <w:r>
        <w:rPr>
          <w:sz w:val="24"/>
          <w:szCs w:val="24"/>
          <w:color w:val="auto"/>
        </w:rPr>
        <w:instrText> SEQ Рисунок \* ARABIC </w:instrText>
      </w:r>
      <w:r>
        <w:rPr>
          <w:sz w:val="24"/>
          <w:szCs w:val="24"/>
          <w:color w:val="auto"/>
        </w:rPr>
        <w:fldChar w:fldCharType="separate"/>
      </w:r>
      <w:r>
        <w:rPr>
          <w:sz w:val="24"/>
          <w:szCs w:val="24"/>
          <w:color w:val="auto"/>
        </w:rPr>
        <w:t>3</w:t>
      </w:r>
      <w:r>
        <w:rPr>
          <w:sz w:val="24"/>
          <w:szCs w:val="24"/>
          <w:color w:val="auto"/>
        </w:rPr>
        <w:fldChar w:fldCharType="end"/>
      </w:r>
      <w:r>
        <w:rPr>
          <w:color w:val="auto"/>
          <w:sz w:val="24"/>
          <w:szCs w:val="24"/>
        </w:rPr>
        <w:t xml:space="preserve">. Температурный график регулирования температуры сетевой воды </w:t>
        <w:br/>
        <w:t xml:space="preserve">для источника тепловой энергии Абаканская ТЭЦ, на с. Зеленое </w:t>
        <w:br/>
        <w:t>в отопительный период 2023-2024гг.</w:t>
      </w:r>
      <w:r>
        <w:br w:type="page"/>
      </w:r>
    </w:p>
    <w:p>
      <w:pPr>
        <w:pStyle w:val="Normal"/>
        <w:ind w:firstLine="709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Часть 3 «Тепловые сети, сооружения на них»</w:t>
      </w:r>
    </w:p>
    <w:p>
      <w:pPr>
        <w:pStyle w:val="Normal"/>
        <w:ind w:firstLine="709"/>
        <w:jc w:val="both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Тепловые сети от источника теплоснабжения Абаканская ТЭЦ запроектированы по тупиковой схеме.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Система теплоснабжения зависимая, по виду теплоносителя водяная. ЦТП работают только в отопительный период.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Тепловые сети выполнены по 2х-трубной схеме. Присоединение систем отопления потребителей тепловой энергии зависимое, с открытым водоразбором сетевой воды на нужды ГВС.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Протяженность тепловых сетей, в отношении которых заключено концессионное соглашение, составляет: 5,6157 км, в том числе сети, построенные в 2023 году – 1,4947 км в двухтрубном исполнении, материальная характеристика составляет 1232,03 м</w:t>
      </w:r>
      <w:r>
        <w:rPr>
          <w:color w:val="auto"/>
          <w:sz w:val="24"/>
          <w:szCs w:val="24"/>
          <w:vertAlign w:val="superscript"/>
        </w:rPr>
        <w:t>2</w:t>
      </w:r>
      <w:r>
        <w:rPr>
          <w:color w:val="auto"/>
          <w:sz w:val="24"/>
          <w:szCs w:val="24"/>
        </w:rPr>
        <w:t>, в том числе по сетям, построенным в 2023 году –</w:t>
      </w:r>
      <w:r>
        <w:rPr>
          <w:color w:val="auto"/>
          <w:sz w:val="24"/>
          <w:szCs w:val="24"/>
          <w:vertAlign w:val="superscript"/>
        </w:rPr>
        <w:t xml:space="preserve">  </w:t>
      </w:r>
      <w:r>
        <w:rPr>
          <w:color w:val="auto"/>
          <w:sz w:val="24"/>
          <w:szCs w:val="24"/>
        </w:rPr>
        <w:t>323,63 м</w:t>
      </w:r>
      <w:r>
        <w:rPr>
          <w:color w:val="auto"/>
          <w:sz w:val="24"/>
          <w:szCs w:val="24"/>
          <w:vertAlign w:val="superscript"/>
        </w:rPr>
        <w:t>2.</w:t>
      </w:r>
    </w:p>
    <w:p>
      <w:pPr>
        <w:sectPr>
          <w:type w:val="nextPage"/>
          <w:pgSz w:w="11906" w:h="16838"/>
          <w:pgMar w:left="1134" w:right="993" w:gutter="0" w:header="0" w:top="851" w:footer="0" w:bottom="850"/>
          <w:pgNumType w:fmt="decimal"/>
          <w:formProt w:val="false"/>
          <w:textDirection w:val="lrTb"/>
          <w:docGrid w:type="default" w:linePitch="360" w:charSpace="0"/>
        </w:sect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Характеристика и параметры тепловых сетей представлены в Таблице 3.</w:t>
      </w:r>
    </w:p>
    <w:p>
      <w:pPr>
        <w:pStyle w:val="Caption"/>
        <w:spacing w:lineRule="auto" w:line="240" w:before="0" w:after="120"/>
        <w:rPr>
          <w:color w:val="auto"/>
        </w:rPr>
      </w:pPr>
      <w:r>
        <w:rPr>
          <w:color w:val="auto"/>
          <w:sz w:val="24"/>
        </w:rPr>
        <w:t>Таблица 3. Характеристика и параметры тепловых сетей</w:t>
      </w:r>
    </w:p>
    <w:tbl>
      <w:tblPr>
        <w:tblW w:w="15417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24"/>
        <w:gridCol w:w="3476"/>
        <w:gridCol w:w="1542"/>
        <w:gridCol w:w="1540"/>
        <w:gridCol w:w="1696"/>
        <w:gridCol w:w="1600"/>
        <w:gridCol w:w="1491"/>
        <w:gridCol w:w="1603"/>
        <w:gridCol w:w="1943"/>
      </w:tblGrid>
      <w:tr>
        <w:trPr>
          <w:tblHeader w:val="true"/>
          <w:trHeight w:val="1124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№</w:t>
            </w:r>
            <w:r>
              <w:rPr>
                <w:b/>
                <w:bCs/>
                <w:color w:val="auto"/>
                <w:sz w:val="20"/>
                <w:szCs w:val="20"/>
              </w:rPr>
              <w:br/>
              <w:t>п/п</w:t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 xml:space="preserve">Наименование </w:t>
              <w:br/>
              <w:t>объекта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Наружный диаметр трубопроводов на участке,</w:t>
            </w:r>
          </w:p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мм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Условный диаметр трубопроводов на участке,</w:t>
            </w:r>
          </w:p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мм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Длина участка (в двухтрубном исчислении),</w:t>
            </w:r>
          </w:p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м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Тип прокладки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Год ввода в эксплуатацию (перекладки)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 xml:space="preserve">Количество труб на участке </w:t>
              <w:br/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Материальная характеристика,</w:t>
            </w:r>
          </w:p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м</w:t>
            </w:r>
            <w:r>
              <w:rPr>
                <w:b/>
                <w:bCs/>
                <w:color w:val="auto"/>
                <w:sz w:val="20"/>
                <w:szCs w:val="20"/>
                <w:vertAlign w:val="superscript"/>
              </w:rPr>
              <w:t>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1</w:t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3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4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6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8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9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Котельная №1 - ТК 1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219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187,9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2012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82,3002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1 - ТК 2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219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2011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4,38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2 - ТК 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17,172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3 - ТК 3/2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10,584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2 - ТК 4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219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2011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33,726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4 - ТК 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2011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41,34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4 - ТК 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63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2011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20,034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6 -ТК 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67,16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2011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14,50656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1 - ж.д. ул. Садовая №3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2014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7,56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ТК3 - гараж НИИ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0,712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3 - ФАП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3,916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3/2 - общежитие ул. Хакасская 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2,128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3/2 - ж.д ул. Хакасская 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3,952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4 - здание НИИ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4,536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5 - ДК "Колос"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2011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0,178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6 - ж. д. ул. Садовая №7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1,672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7 - ж. д. ул. Садовая №9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2014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1,14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1 - ТК 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219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346,1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151,5918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8 - ТК 9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6,678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9 - ТК 10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11,766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10 - ТК 11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114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9,12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11 - ТК 12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114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7,98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11 -ТК 11/2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10,8</w:t>
            </w:r>
          </w:p>
        </w:tc>
      </w:tr>
      <w:tr>
        <w:trPr>
          <w:trHeight w:val="299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11/2 - ТК 11/3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11,036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12 - ТК 13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9,072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13 - ТК 14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9,078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14 - ТК 15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6,232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8 - ж.д ул. Прянишникова №2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13,392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9 - ЖКХ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1,068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10 - гараж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1,78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11/2 - ж.д.пер. Молодежный №1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2014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ТК11/3 -ж.д.пер. Молодежный №2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2014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3,952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11 - ж.д. ул. 40 лет Победы №1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2,128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12 - ж.д. ул. 40 лет Победы №2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1,824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13 - ж.д.ул. 40 лет Победы №3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2,432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14 - ж.д. ул. 40 лет Победы №4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1,368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15 - ж.д ул. 40 лет Победы №5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1,14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15 - д/сад "Рябинушка"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2023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15,842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Котельная №2 - ТК31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219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0,876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31 - ТК30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22,26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30 - ТК 21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10,176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21 - ТК 21/2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11,448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21/2 - ТК 21/3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8,64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21/3 - ТК 22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9,936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22 - ТК 23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5,518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23 - ТК 24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8,544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24 - ТК 25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4,864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25 - ТК 26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5,776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26 - ТК 27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1,596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27 - ТК 28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4,788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28 - ТК 29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15 - ТК 16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136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29,376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16 - ТК 17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1,08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17 - ТК 41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2013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7,992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41 - ТК 42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2013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0,356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42 - ТК 43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2013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43 - ТК 44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2013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5,776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44 - ТК 45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2013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4,864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45 - ТК 46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4,864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46 - ТК 47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4,864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47 -ТК 48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3,648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48 - ТК 49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49 -ТК 50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17 -ТК 18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6,912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18 -ТК 19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4,104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19 - ТК 32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108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32,832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32 - ТК 33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2010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10,324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33 - ТК 34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4,984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34 - ТК 35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1,824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35 - ТК 36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6,612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33 - ТК 37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37 - ТК 38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38 - ТК 39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39 - ТК 40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4,788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19 - ТК 20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15,264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20 - ТК 21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17,808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16 - ж. д. ул. Пантелеева № 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5,32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18 - ж. д. ул. Пантелеева № 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4,864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ТК19 - ж. д. ул. Пантелеева № 2а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5,32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20 - ж.д. ул. Пантелеева № 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5,32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21 - ж.д. ул. Пантелеева № 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3,99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21/2 -ж.д.ул. Пантелеева № 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3,192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21/3 -ж.д.ул. Пантелеева № 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3,192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22 -ж.д.ул. Пантелеева № 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1995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23 -ж.д.ул. Пантелеева № 9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24 -ж.д.ул. Пантелеева № 10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25 -ж.д.ул. Пантелеева № 11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1,792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27 -ж.д.ул. Пантелеева № 12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3,456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29 - ж.д.ул. Пантелеева № 13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47,2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3,0208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30 - ж. д. ул. Гагарина № 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33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5,874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32 - МОУ Опытненская СОШ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3,56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34 - ж. д. ул. Гагарина № 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0,912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36 - ж. д. ул. Гагарина № 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0,912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37 - ж. д. ул. Гагарина № 11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0,912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38 - ж. д. ул. Гагарина № 13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1,026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39 - ж. д. ул. Гагарина № 15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0,72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40 - ж. д. ул. Гагарина № 17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0,72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41 - ж. д. ул. Мира № 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0,912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42 - ж. д. ул. Мира № 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1996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3,192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43 - ж. д. ул. Мира № 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0,912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43 - ж. д. ул. Мира № 4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3,192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44 - ж. д. ул. Мира № 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3,192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44 - ж. д. ул. Мира № 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57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1997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3,192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45 - ж. д. ул. Мира № 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45 - ж. д. ул. Мира № 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46 - ж. д. ул. Мира № 9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46 - ж. д. ул. Мира № 10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1998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47 - ж. д. ул. Мира № 11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47 - ж. д. ул. Мира № 12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1999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2,24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48 - ж. д. ул. Мира № 13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0,64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48 - ж. д. ул. Мира № 14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40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1,44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49 - ж. д. ул. Мира № 15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0,512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49 - ж. д. ул. Мира № 16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1,152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50 - ж. д. ул. Мира № 17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10,64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0,68096</w:t>
            </w:r>
          </w:p>
        </w:tc>
      </w:tr>
      <w:tr>
        <w:trPr>
          <w:trHeight w:val="255" w:hRule="atLeast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suppressAutoHyphens w:val="false"/>
              <w:spacing w:before="0" w:after="0"/>
              <w:ind w:left="0" w:hanging="0"/>
              <w:contextualSpacing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  <w:tc>
          <w:tcPr>
            <w:tcW w:w="34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ТК 50 - ж. д. ул. Мира № 18</w:t>
            </w:r>
          </w:p>
        </w:tc>
        <w:tc>
          <w:tcPr>
            <w:tcW w:w="15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5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169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канальная</w:t>
            </w:r>
          </w:p>
        </w:tc>
        <w:tc>
          <w:tcPr>
            <w:tcW w:w="149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6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1,152</w:t>
            </w:r>
          </w:p>
        </w:tc>
      </w:tr>
      <w:tr>
        <w:trPr>
          <w:trHeight w:val="315" w:hRule="atLeast"/>
        </w:trPr>
        <w:tc>
          <w:tcPr>
            <w:tcW w:w="708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right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ИТОГО:</w:t>
            </w:r>
          </w:p>
        </w:tc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4121,00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908,40</w:t>
            </w:r>
          </w:p>
        </w:tc>
      </w:tr>
    </w:tbl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sectPr>
          <w:type w:val="nextPage"/>
          <w:pgSz w:orient="landscape" w:w="16838" w:h="11906"/>
          <w:pgMar w:left="850" w:right="851" w:gutter="0" w:header="0" w:top="1134" w:footer="0" w:bottom="993"/>
          <w:pgNumType w:fmt="decimal"/>
          <w:formProt w:val="false"/>
          <w:textDirection w:val="lrTb"/>
          <w:docGrid w:type="default" w:linePitch="360" w:charSpace="0"/>
        </w:sectPr>
        <w:pStyle w:val="Normal"/>
        <w:rPr>
          <w:color w:val="auto"/>
          <w:sz w:val="24"/>
          <w:szCs w:val="24"/>
          <w:highlight w:val="green"/>
        </w:rPr>
      </w:pPr>
      <w:r>
        <w:rPr>
          <w:color w:val="auto"/>
          <w:sz w:val="24"/>
          <w:szCs w:val="24"/>
          <w:highlight w:val="green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Согласно мероприятиям, предусмотренными концессионным соглашением, АО «Абаканская ТЭЦ» осуществила проектирование и строительство ЦТП и тепловых сетей для подключения потребителей с. Зеленое к системе теплоснабжения от источника тепловой энергии Абаканская ТЭЦ.</w:t>
      </w:r>
    </w:p>
    <w:p>
      <w:pPr>
        <w:pStyle w:val="Normal"/>
        <w:ind w:firstLine="708"/>
        <w:rPr>
          <w:color w:val="auto"/>
        </w:rPr>
      </w:pPr>
      <w:r>
        <w:rPr>
          <w:color w:val="auto"/>
          <w:sz w:val="24"/>
          <w:szCs w:val="24"/>
        </w:rPr>
        <w:t xml:space="preserve">Перечень реализованных мероприятий на тепловых сетях представлен в Таблице 4. </w:t>
      </w:r>
    </w:p>
    <w:p>
      <w:pPr>
        <w:pStyle w:val="Normal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Caption"/>
        <w:spacing w:lineRule="auto" w:line="240" w:before="0" w:after="120"/>
        <w:rPr>
          <w:color w:val="auto"/>
        </w:rPr>
      </w:pPr>
      <w:r>
        <w:rPr>
          <w:color w:val="auto"/>
          <w:sz w:val="24"/>
        </w:rPr>
        <w:t>Таблица 4. Перечень реализованных мероприятий на тепловых сетях в 2023 году</w:t>
      </w:r>
    </w:p>
    <w:tbl>
      <w:tblPr>
        <w:tblW w:w="1003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37"/>
        <w:gridCol w:w="9494"/>
      </w:tblGrid>
      <w:tr>
        <w:trPr>
          <w:trHeight w:val="596" w:hRule="atLeast"/>
        </w:trPr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№ </w:t>
            </w:r>
            <w:r>
              <w:rPr>
                <w:color w:val="auto"/>
                <w:sz w:val="24"/>
                <w:szCs w:val="24"/>
              </w:rPr>
              <w:t>п/п</w:t>
            </w:r>
          </w:p>
        </w:tc>
        <w:tc>
          <w:tcPr>
            <w:tcW w:w="9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Мероприятие</w:t>
            </w:r>
          </w:p>
        </w:tc>
      </w:tr>
      <w:tr>
        <w:trPr>
          <w:trHeight w:val="300" w:hRule="atLeast"/>
        </w:trPr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9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both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Строительство ЦТП для замещения котельной ул. Гагарина, 2Б</w:t>
            </w:r>
          </w:p>
          <w:p>
            <w:pPr>
              <w:pStyle w:val="Normal"/>
              <w:widowControl w:val="false"/>
              <w:suppressAutoHyphens w:val="false"/>
              <w:jc w:val="both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</w:tr>
      <w:tr>
        <w:trPr>
          <w:trHeight w:val="591" w:hRule="atLeast"/>
        </w:trPr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9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both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Строительство ЦТП для замещения котельной ул. Садовая, 1Б</w:t>
            </w:r>
          </w:p>
          <w:p>
            <w:pPr>
              <w:pStyle w:val="Normal"/>
              <w:widowControl w:val="false"/>
              <w:suppressAutoHyphens w:val="false"/>
              <w:jc w:val="both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</w:tr>
      <w:tr>
        <w:trPr>
          <w:trHeight w:val="699" w:hRule="atLeast"/>
        </w:trPr>
        <w:tc>
          <w:tcPr>
            <w:tcW w:w="5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94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both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Строительство тепловой сети 2Ду100 надземного/подземного исполнения (с. Зеленое) протяженностью 0,83 км*</w:t>
            </w:r>
          </w:p>
          <w:p>
            <w:pPr>
              <w:pStyle w:val="Normal"/>
              <w:widowControl w:val="false"/>
              <w:suppressAutoHyphens w:val="false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</w:tr>
      <w:tr>
        <w:trPr>
          <w:trHeight w:val="495" w:hRule="atLeast"/>
        </w:trPr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9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Строительство тепловой сети 2Ду100 надземного исполнения (с. Зеленое) протяженностью 0,67 км*</w:t>
            </w:r>
          </w:p>
        </w:tc>
      </w:tr>
    </w:tbl>
    <w:p>
      <w:pPr>
        <w:pStyle w:val="Normal"/>
        <w:rPr>
          <w:color w:val="auto"/>
        </w:rPr>
      </w:pPr>
      <w:r>
        <w:rPr>
          <w:color w:val="auto"/>
          <w:sz w:val="22"/>
        </w:rPr>
        <w:t>* Протяжённость будет уточнена после регистрации права собственности.</w:t>
      </w:r>
    </w:p>
    <w:p>
      <w:pPr>
        <w:pStyle w:val="Normal"/>
        <w:rPr>
          <w:color w:val="auto"/>
          <w:sz w:val="22"/>
        </w:rPr>
      </w:pPr>
      <w:r>
        <w:rPr>
          <w:color w:val="auto"/>
          <w:sz w:val="22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В 2023 году в рамках утвержденного плана мероприятий по подготовке к работе в осенне-зимний период АО «Абаканская ТЭЦ» был произведен капитальный ремонт теплотрассы 2</w:t>
      </w:r>
      <w:r>
        <w:rPr>
          <w:color w:val="auto"/>
          <w:sz w:val="24"/>
          <w:szCs w:val="24"/>
          <w:lang w:val="en-US"/>
        </w:rPr>
        <w:t>DN</w:t>
      </w:r>
      <w:r>
        <w:rPr>
          <w:color w:val="auto"/>
          <w:sz w:val="24"/>
          <w:szCs w:val="24"/>
        </w:rPr>
        <w:t xml:space="preserve">80 от ТК-1 до ул. Пантелеева, протяженность участка в двухтрубном исполнении составила 90 метров. </w:t>
      </w:r>
    </w:p>
    <w:p>
      <w:pPr>
        <w:pStyle w:val="Normal"/>
        <w:ind w:firstLine="709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9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sectPr>
          <w:type w:val="nextPage"/>
          <w:pgSz w:w="11906" w:h="16838"/>
          <w:pgMar w:left="1134" w:right="993" w:gutter="0" w:header="0" w:top="851" w:footer="0" w:bottom="850"/>
          <w:pgNumType w:fmt="decimal"/>
          <w:formProt w:val="false"/>
          <w:textDirection w:val="lrTb"/>
          <w:docGrid w:type="default" w:linePitch="360" w:charSpace="0"/>
        </w:sectPr>
        <w:pStyle w:val="Normal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8"/>
        <w:rPr>
          <w:color w:val="auto"/>
        </w:rPr>
      </w:pPr>
      <w:r>
        <w:rPr>
          <w:b/>
          <w:color w:val="auto"/>
          <w:sz w:val="24"/>
          <w:szCs w:val="24"/>
        </w:rPr>
        <w:t>Часть 4 «Тепловые нагрузки потребителей тепловой энергии»</w:t>
      </w:r>
    </w:p>
    <w:p>
      <w:pPr>
        <w:pStyle w:val="Normal"/>
        <w:rPr>
          <w:color w:val="auto"/>
        </w:rPr>
      </w:pPr>
      <w:r>
        <w:rPr>
          <w:color w:val="auto"/>
        </w:rPr>
      </w:r>
    </w:p>
    <w:p>
      <w:pPr>
        <w:pStyle w:val="Normal"/>
        <w:ind w:firstLine="708"/>
        <w:rPr>
          <w:color w:val="auto"/>
        </w:rPr>
      </w:pPr>
      <w:r>
        <w:rPr>
          <w:color w:val="auto"/>
        </w:rPr>
        <w:t>Фактические присоединённые нагрузки по состоянию на 01.01.2024 год представлены в таблице ниже.</w:t>
      </w:r>
    </w:p>
    <w:p>
      <w:pPr>
        <w:pStyle w:val="Normal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Caption"/>
        <w:spacing w:lineRule="auto" w:line="240" w:before="0" w:after="120"/>
        <w:rPr>
          <w:color w:val="auto"/>
        </w:rPr>
      </w:pPr>
      <w:r>
        <w:rPr>
          <w:color w:val="auto"/>
          <w:sz w:val="24"/>
          <w:szCs w:val="24"/>
        </w:rPr>
        <w:t>Таблица 5. Тепловые нагрузки потребителей тепловой энергии</w:t>
      </w:r>
    </w:p>
    <w:tbl>
      <w:tblPr>
        <w:tblW w:w="959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956"/>
        <w:gridCol w:w="2387"/>
        <w:gridCol w:w="1188"/>
        <w:gridCol w:w="1840"/>
        <w:gridCol w:w="1224"/>
      </w:tblGrid>
      <w:tr>
        <w:trPr>
          <w:trHeight w:val="300" w:hRule="atLeast"/>
        </w:trPr>
        <w:tc>
          <w:tcPr>
            <w:tcW w:w="2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Наименование зоны</w:t>
            </w:r>
          </w:p>
        </w:tc>
        <w:tc>
          <w:tcPr>
            <w:tcW w:w="2387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Источник теплоснабжения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Q отопл.</w:t>
            </w:r>
          </w:p>
        </w:tc>
        <w:tc>
          <w:tcPr>
            <w:tcW w:w="1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Qгвс max откр.</w:t>
            </w:r>
          </w:p>
        </w:tc>
        <w:tc>
          <w:tcPr>
            <w:tcW w:w="122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Q сум</w:t>
            </w:r>
          </w:p>
        </w:tc>
      </w:tr>
      <w:tr>
        <w:trPr>
          <w:trHeight w:val="300" w:hRule="atLeast"/>
        </w:trPr>
        <w:tc>
          <w:tcPr>
            <w:tcW w:w="295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  <w:tc>
          <w:tcPr>
            <w:tcW w:w="2387" w:type="dxa"/>
            <w:vMerge w:val="continue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</w:r>
          </w:p>
        </w:tc>
        <w:tc>
          <w:tcPr>
            <w:tcW w:w="11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Гкал/час</w:t>
            </w:r>
          </w:p>
        </w:tc>
        <w:tc>
          <w:tcPr>
            <w:tcW w:w="1840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Гкал/час</w:t>
            </w:r>
          </w:p>
        </w:tc>
        <w:tc>
          <w:tcPr>
            <w:tcW w:w="1224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Гкал/час</w:t>
            </w:r>
          </w:p>
        </w:tc>
      </w:tr>
      <w:tr>
        <w:trPr>
          <w:trHeight w:val="300" w:hRule="atLeast"/>
        </w:trPr>
        <w:tc>
          <w:tcPr>
            <w:tcW w:w="29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iCs/>
                <w:color w:val="auto"/>
                <w:sz w:val="24"/>
                <w:szCs w:val="24"/>
              </w:rPr>
            </w:pPr>
            <w:r>
              <w:rPr>
                <w:b/>
                <w:bCs/>
                <w:iCs/>
                <w:color w:val="auto"/>
                <w:sz w:val="24"/>
                <w:szCs w:val="24"/>
              </w:rPr>
              <w:t>Опытненский сельсовет, с. Зеленое</w:t>
            </w:r>
          </w:p>
        </w:tc>
        <w:tc>
          <w:tcPr>
            <w:tcW w:w="238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iCs/>
                <w:color w:val="auto"/>
                <w:sz w:val="24"/>
                <w:szCs w:val="24"/>
              </w:rPr>
            </w:pPr>
            <w:r>
              <w:rPr>
                <w:iCs/>
                <w:color w:val="auto"/>
                <w:sz w:val="24"/>
                <w:szCs w:val="24"/>
              </w:rPr>
              <w:t>Абаканская ТЭЦ</w:t>
            </w:r>
          </w:p>
        </w:tc>
        <w:tc>
          <w:tcPr>
            <w:tcW w:w="11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iCs/>
                <w:color w:val="auto"/>
                <w:sz w:val="24"/>
                <w:szCs w:val="24"/>
              </w:rPr>
            </w:pPr>
            <w:r>
              <w:rPr>
                <w:iCs/>
                <w:color w:val="auto"/>
                <w:sz w:val="24"/>
                <w:szCs w:val="24"/>
              </w:rPr>
              <w:t>2,484185</w:t>
            </w:r>
          </w:p>
        </w:tc>
        <w:tc>
          <w:tcPr>
            <w:tcW w:w="1840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iCs/>
                <w:color w:val="auto"/>
                <w:sz w:val="24"/>
                <w:szCs w:val="24"/>
              </w:rPr>
            </w:pPr>
            <w:r>
              <w:rPr>
                <w:iCs/>
                <w:color w:val="auto"/>
                <w:sz w:val="24"/>
                <w:szCs w:val="24"/>
              </w:rPr>
              <w:t>0,071980</w:t>
            </w:r>
          </w:p>
        </w:tc>
        <w:tc>
          <w:tcPr>
            <w:tcW w:w="1224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iCs/>
                <w:color w:val="auto"/>
                <w:sz w:val="24"/>
                <w:szCs w:val="24"/>
              </w:rPr>
            </w:pPr>
            <w:r>
              <w:rPr>
                <w:b/>
                <w:bCs/>
                <w:iCs/>
                <w:color w:val="auto"/>
                <w:sz w:val="24"/>
                <w:szCs w:val="24"/>
              </w:rPr>
              <w:t>2,556165</w:t>
            </w:r>
          </w:p>
        </w:tc>
      </w:tr>
    </w:tbl>
    <w:p>
      <w:pPr>
        <w:pStyle w:val="Normal"/>
        <w:ind w:firstLine="708"/>
        <w:jc w:val="center"/>
        <w:rPr>
          <w:b/>
          <w:b/>
          <w:bCs/>
          <w:color w:val="auto"/>
          <w:sz w:val="24"/>
          <w:szCs w:val="24"/>
          <w:highlight w:val="green"/>
        </w:rPr>
      </w:pPr>
      <w:r>
        <w:rPr>
          <w:b/>
          <w:bCs/>
          <w:color w:val="auto"/>
          <w:sz w:val="24"/>
          <w:szCs w:val="24"/>
          <w:highlight w:val="green"/>
        </w:rPr>
      </w:r>
    </w:p>
    <w:p>
      <w:pPr>
        <w:pStyle w:val="Caption"/>
        <w:spacing w:lineRule="auto" w:line="240" w:before="0" w:after="120"/>
        <w:ind w:firstLine="708"/>
        <w:rPr>
          <w:color w:val="auto"/>
        </w:rPr>
      </w:pPr>
      <w:r>
        <w:rPr>
          <w:color w:val="auto"/>
          <w:sz w:val="24"/>
          <w:szCs w:val="24"/>
        </w:rPr>
        <w:t>Часть 5 «Технико-экономические показатели теплоснабжающих и теплосетевых организаций»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Описание показателей хозяйственной деятельности теплоснабжающих и теплосетевых организаций в соответствии с требованиями, устанавливаемыми Правительством Российской Федерации в стандартах раскрытия информации теплоснабжающими организациями, теплосетевыми организациями и органами регулирования представлены в таблице 6.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Объемы полезного отпуска потребителям </w:t>
      </w:r>
      <w:r>
        <w:rPr>
          <w:rFonts w:eastAsia="Times New Roman"/>
          <w:color w:val="auto"/>
          <w:sz w:val="24"/>
          <w:szCs w:val="24"/>
        </w:rPr>
        <w:t>н</w:t>
      </w:r>
      <w:r>
        <w:rPr>
          <w:color w:val="auto"/>
          <w:sz w:val="24"/>
          <w:szCs w:val="24"/>
        </w:rPr>
        <w:t>а период 2023-2037 г.г. представлены в таблице 7.</w:t>
      </w:r>
    </w:p>
    <w:p>
      <w:pPr>
        <w:pStyle w:val="Caption"/>
        <w:spacing w:lineRule="auto" w:line="240" w:before="0" w:after="120"/>
        <w:rPr>
          <w:b w:val="false"/>
          <w:b w:val="false"/>
          <w:color w:val="auto"/>
          <w:sz w:val="24"/>
          <w:szCs w:val="24"/>
        </w:rPr>
      </w:pPr>
      <w:r>
        <w:rPr>
          <w:b w:val="false"/>
          <w:color w:val="auto"/>
          <w:sz w:val="24"/>
          <w:szCs w:val="24"/>
        </w:rPr>
      </w:r>
    </w:p>
    <w:p>
      <w:pPr>
        <w:pStyle w:val="Caption"/>
        <w:spacing w:lineRule="auto" w:line="240" w:before="0" w:after="120"/>
        <w:rPr>
          <w:color w:val="auto"/>
        </w:rPr>
      </w:pPr>
      <w:r>
        <w:rPr>
          <w:color w:val="auto"/>
          <w:sz w:val="24"/>
          <w:szCs w:val="24"/>
        </w:rPr>
        <w:t>Таблица 6. Описание показателей хозяйственной деятельности теплоснабжающих и теплосетевых организаций</w:t>
      </w:r>
    </w:p>
    <w:tbl>
      <w:tblPr>
        <w:tblW w:w="94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735"/>
        <w:gridCol w:w="1348"/>
        <w:gridCol w:w="1074"/>
        <w:gridCol w:w="1279"/>
        <w:gridCol w:w="1314"/>
        <w:gridCol w:w="1701"/>
      </w:tblGrid>
      <w:tr>
        <w:trPr>
          <w:trHeight w:val="205" w:hRule="atLeast"/>
        </w:trPr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b/>
                <w:b/>
                <w:bCs/>
                <w:color w:val="auto"/>
                <w:sz w:val="22"/>
              </w:rPr>
            </w:pPr>
            <w:r>
              <w:rPr>
                <w:b/>
                <w:bCs/>
                <w:color w:val="auto"/>
                <w:sz w:val="22"/>
              </w:rPr>
              <w:t>Источник теплоснабжения</w:t>
            </w:r>
          </w:p>
        </w:tc>
        <w:tc>
          <w:tcPr>
            <w:tcW w:w="2353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2"/>
              </w:rPr>
            </w:pPr>
            <w:r>
              <w:rPr>
                <w:b/>
                <w:bCs/>
                <w:color w:val="auto"/>
                <w:sz w:val="22"/>
              </w:rPr>
              <w:t>2022 год</w:t>
            </w:r>
          </w:p>
        </w:tc>
        <w:tc>
          <w:tcPr>
            <w:tcW w:w="3015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2"/>
              </w:rPr>
            </w:pPr>
            <w:r>
              <w:rPr>
                <w:b/>
                <w:bCs/>
                <w:color w:val="auto"/>
                <w:sz w:val="22"/>
              </w:rPr>
              <w:t>2023 год</w:t>
            </w:r>
          </w:p>
        </w:tc>
      </w:tr>
      <w:tr>
        <w:trPr>
          <w:trHeight w:val="283" w:hRule="atLeast"/>
        </w:trPr>
        <w:tc>
          <w:tcPr>
            <w:tcW w:w="7750" w:type="dxa"/>
            <w:gridSpan w:val="5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bCs/>
                <w:iCs/>
                <w:color w:val="auto"/>
                <w:sz w:val="22"/>
              </w:rPr>
            </w:pPr>
            <w:r>
              <w:rPr>
                <w:b/>
                <w:bCs/>
                <w:iCs/>
                <w:color w:val="auto"/>
                <w:sz w:val="22"/>
              </w:rPr>
              <w:t>Котельные</w:t>
            </w:r>
          </w:p>
        </w:tc>
        <w:tc>
          <w:tcPr>
            <w:tcW w:w="1701" w:type="dxa"/>
            <w:vMerge w:val="restar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С начала ОЗП 2023 года вывод котельных из эксплуатации с последующим переключением потребителей на  Абаканскую ТЭЦ</w:t>
            </w:r>
          </w:p>
        </w:tc>
      </w:tr>
      <w:tr>
        <w:trPr>
          <w:trHeight w:val="283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Показатель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ед. изм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с 01.01. по 01.08.</w:t>
            </w:r>
          </w:p>
        </w:tc>
        <w:tc>
          <w:tcPr>
            <w:tcW w:w="1279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 xml:space="preserve"> </w:t>
            </w:r>
            <w:r>
              <w:rPr>
                <w:color w:val="auto"/>
                <w:sz w:val="22"/>
              </w:rPr>
              <w:t>с 01.08</w:t>
            </w:r>
          </w:p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до 31.12.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Cs/>
                <w:iCs/>
                <w:color w:val="auto"/>
                <w:sz w:val="22"/>
              </w:rPr>
            </w:pPr>
            <w:r>
              <w:rPr>
                <w:bCs/>
                <w:iCs/>
                <w:color w:val="auto"/>
                <w:sz w:val="22"/>
              </w:rPr>
              <w:t>до окончания</w:t>
            </w:r>
          </w:p>
          <w:p>
            <w:pPr>
              <w:pStyle w:val="Normal"/>
              <w:widowControl w:val="false"/>
              <w:suppressAutoHyphens w:val="false"/>
              <w:jc w:val="center"/>
              <w:rPr>
                <w:bCs/>
                <w:iCs/>
                <w:color w:val="auto"/>
                <w:sz w:val="22"/>
              </w:rPr>
            </w:pPr>
            <w:r>
              <w:rPr>
                <w:bCs/>
                <w:iCs/>
                <w:color w:val="auto"/>
                <w:sz w:val="22"/>
              </w:rPr>
              <w:t>ОЗП 2022-2023 гг)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i/>
                <w:i/>
                <w:iCs/>
                <w:color w:val="auto"/>
                <w:sz w:val="22"/>
              </w:rPr>
            </w:pPr>
            <w:r>
              <w:rPr>
                <w:b/>
                <w:bCs/>
                <w:i/>
                <w:iCs/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Выработка тепловой энергии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3781,02</w:t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4092,904</w:t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6 305,343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Собственные нужды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0</w:t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104,986</w:t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136,287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Отпуск в сеть тепловой энергии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3781,02</w:t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3987,918</w:t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6 169,056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Потери т/э в тепловых сетях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515,87</w:t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1336,459</w:t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2 595,384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Потери теплоносителя в тепловых сетях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м3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327,192</w:t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847,653</w:t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1 007,828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Реализовано тепловой энергии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3265,15</w:t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2651,459</w:t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3573,672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right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В том числе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right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населению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2186,519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right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Бюджетным потребителям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1369,705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right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Прочим потребителям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17,448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УРУТ на отпуск тепловой энергии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кг.у.т/</w:t>
            </w:r>
          </w:p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Гкал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213,2</w:t>
            </w:r>
          </w:p>
        </w:tc>
        <w:tc>
          <w:tcPr>
            <w:tcW w:w="1279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213,2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213,2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Расход условного топлива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т.у.т.</w:t>
            </w:r>
          </w:p>
        </w:tc>
        <w:tc>
          <w:tcPr>
            <w:tcW w:w="107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696,13</w:t>
            </w:r>
          </w:p>
        </w:tc>
        <w:tc>
          <w:tcPr>
            <w:tcW w:w="1279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872,607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1344,299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40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Расход натурального топлива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т.н.т.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1015,21</w:t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1210,145</w:t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1836,615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  <w:tr>
        <w:trPr>
          <w:trHeight w:val="393" w:hRule="atLeast"/>
        </w:trPr>
        <w:tc>
          <w:tcPr>
            <w:tcW w:w="2735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Расход электроэнергии всего</w:t>
            </w:r>
          </w:p>
        </w:tc>
        <w:tc>
          <w:tcPr>
            <w:tcW w:w="1348" w:type="dxa"/>
            <w:tcBorders>
              <w:lef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тыс.квт./год</w:t>
            </w:r>
          </w:p>
        </w:tc>
        <w:tc>
          <w:tcPr>
            <w:tcW w:w="10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125,97</w:t>
            </w:r>
          </w:p>
        </w:tc>
        <w:tc>
          <w:tcPr>
            <w:tcW w:w="127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158,559</w:t>
            </w:r>
          </w:p>
        </w:tc>
        <w:tc>
          <w:tcPr>
            <w:tcW w:w="13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202,108</w:t>
            </w:r>
          </w:p>
        </w:tc>
        <w:tc>
          <w:tcPr>
            <w:tcW w:w="1701" w:type="dxa"/>
            <w:vMerge w:val="continue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</w:r>
          </w:p>
        </w:tc>
      </w:tr>
    </w:tbl>
    <w:p>
      <w:pPr>
        <w:sectPr>
          <w:type w:val="nextPage"/>
          <w:pgSz w:w="11906" w:h="16838"/>
          <w:pgMar w:left="1701" w:right="851" w:gutter="0" w:header="0" w:top="568" w:footer="0" w:bottom="709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ormal"/>
        <w:rPr>
          <w:rFonts w:ascii="Calibri" w:hAnsi="Calibri" w:cs="Calibri"/>
          <w:color w:val="auto"/>
          <w:sz w:val="22"/>
        </w:rPr>
      </w:pPr>
      <w:r>
        <w:rPr>
          <w:rFonts w:cs="Calibri" w:ascii="Calibri" w:hAnsi="Calibri"/>
          <w:color w:val="auto"/>
          <w:sz w:val="22"/>
        </w:rPr>
      </w:r>
    </w:p>
    <w:tbl>
      <w:tblPr>
        <w:tblpPr w:bottomFromText="0" w:horzAnchor="margin" w:leftFromText="180" w:rightFromText="180" w:tblpX="0" w:tblpXSpec="center" w:tblpY="687" w:topFromText="0" w:vertAnchor="text"/>
        <w:tblW w:w="1331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628"/>
        <w:gridCol w:w="1116"/>
        <w:gridCol w:w="880"/>
        <w:gridCol w:w="695"/>
        <w:gridCol w:w="698"/>
        <w:gridCol w:w="710"/>
        <w:gridCol w:w="695"/>
        <w:gridCol w:w="855"/>
        <w:gridCol w:w="695"/>
        <w:gridCol w:w="698"/>
        <w:gridCol w:w="697"/>
        <w:gridCol w:w="695"/>
        <w:gridCol w:w="855"/>
        <w:gridCol w:w="857"/>
        <w:gridCol w:w="695"/>
        <w:gridCol w:w="843"/>
      </w:tblGrid>
      <w:tr>
        <w:trPr>
          <w:trHeight w:val="300" w:hRule="atLeast"/>
        </w:trPr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                 </w:t>
            </w:r>
            <w:r>
              <w:rPr>
                <w:color w:val="auto"/>
                <w:sz w:val="24"/>
                <w:szCs w:val="24"/>
              </w:rPr>
              <w:t>Год</w:t>
            </w:r>
          </w:p>
        </w:tc>
        <w:tc>
          <w:tcPr>
            <w:tcW w:w="111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2023</w:t>
            </w:r>
          </w:p>
        </w:tc>
        <w:tc>
          <w:tcPr>
            <w:tcW w:w="8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2024</w:t>
            </w:r>
          </w:p>
        </w:tc>
        <w:tc>
          <w:tcPr>
            <w:tcW w:w="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2025</w:t>
            </w:r>
          </w:p>
        </w:tc>
        <w:tc>
          <w:tcPr>
            <w:tcW w:w="69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2026</w:t>
            </w:r>
          </w:p>
        </w:tc>
        <w:tc>
          <w:tcPr>
            <w:tcW w:w="7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2027</w:t>
            </w:r>
          </w:p>
        </w:tc>
        <w:tc>
          <w:tcPr>
            <w:tcW w:w="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2028</w:t>
            </w:r>
          </w:p>
        </w:tc>
        <w:tc>
          <w:tcPr>
            <w:tcW w:w="8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2029</w:t>
            </w:r>
          </w:p>
        </w:tc>
        <w:tc>
          <w:tcPr>
            <w:tcW w:w="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2030</w:t>
            </w:r>
          </w:p>
        </w:tc>
        <w:tc>
          <w:tcPr>
            <w:tcW w:w="69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2031</w:t>
            </w:r>
          </w:p>
        </w:tc>
        <w:tc>
          <w:tcPr>
            <w:tcW w:w="69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2032</w:t>
            </w:r>
          </w:p>
        </w:tc>
        <w:tc>
          <w:tcPr>
            <w:tcW w:w="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2033</w:t>
            </w:r>
          </w:p>
        </w:tc>
        <w:tc>
          <w:tcPr>
            <w:tcW w:w="8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2034</w:t>
            </w:r>
          </w:p>
        </w:tc>
        <w:tc>
          <w:tcPr>
            <w:tcW w:w="8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2035</w:t>
            </w:r>
          </w:p>
        </w:tc>
        <w:tc>
          <w:tcPr>
            <w:tcW w:w="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2036</w:t>
            </w:r>
          </w:p>
        </w:tc>
        <w:tc>
          <w:tcPr>
            <w:tcW w:w="8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2037</w:t>
            </w:r>
          </w:p>
        </w:tc>
      </w:tr>
      <w:tr>
        <w:trPr>
          <w:trHeight w:val="300" w:hRule="atLeast"/>
        </w:trPr>
        <w:tc>
          <w:tcPr>
            <w:tcW w:w="16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Полезный отпуск, Гкал</w:t>
            </w:r>
          </w:p>
        </w:tc>
        <w:tc>
          <w:tcPr>
            <w:tcW w:w="111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5568,197</w:t>
            </w:r>
          </w:p>
        </w:tc>
        <w:tc>
          <w:tcPr>
            <w:tcW w:w="880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5535</w:t>
            </w:r>
          </w:p>
        </w:tc>
        <w:tc>
          <w:tcPr>
            <w:tcW w:w="69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69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710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69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85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69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69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697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69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85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857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69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  <w:tc>
          <w:tcPr>
            <w:tcW w:w="84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5568</w:t>
            </w:r>
          </w:p>
        </w:tc>
      </w:tr>
    </w:tbl>
    <w:p>
      <w:pPr>
        <w:sectPr>
          <w:type w:val="nextPage"/>
          <w:pgSz w:orient="landscape" w:w="16838" w:h="11906"/>
          <w:pgMar w:left="1134" w:right="568" w:gutter="0" w:header="0" w:top="851" w:footer="0" w:bottom="851"/>
          <w:pgNumType w:fmt="decimal"/>
          <w:formProt w:val="false"/>
          <w:textDirection w:val="lrTb"/>
          <w:docGrid w:type="default" w:linePitch="360" w:charSpace="0"/>
        </w:sectPr>
        <w:pStyle w:val="Caption"/>
        <w:spacing w:lineRule="auto" w:line="240" w:before="0" w:after="120"/>
        <w:rPr>
          <w:color w:val="auto"/>
        </w:rPr>
      </w:pPr>
      <w:r>
        <w:rPr>
          <w:rFonts w:cs="Calibri" w:ascii="Calibri" w:hAnsi="Calibri"/>
          <w:color w:val="auto"/>
          <w:sz w:val="22"/>
        </w:rPr>
        <w:tab/>
        <w:t xml:space="preserve">    </w:t>
      </w:r>
      <w:r>
        <w:rPr>
          <w:color w:val="auto"/>
          <w:sz w:val="24"/>
          <w:szCs w:val="24"/>
        </w:rPr>
        <w:t>Таблица 7. Полезный отпуск потребителям на территории МО Опытненский сельсовет</w:t>
      </w:r>
    </w:p>
    <w:p>
      <w:pPr>
        <w:pStyle w:val="Normal"/>
        <w:ind w:firstLine="709"/>
        <w:rPr>
          <w:color w:val="auto"/>
        </w:rPr>
      </w:pPr>
      <w:r>
        <w:rPr>
          <w:b/>
          <w:bCs/>
          <w:color w:val="auto"/>
          <w:sz w:val="24"/>
          <w:szCs w:val="24"/>
        </w:rPr>
        <w:t xml:space="preserve">Часть 6. </w:t>
      </w:r>
      <w:r>
        <w:rPr>
          <w:b/>
          <w:color w:val="auto"/>
          <w:sz w:val="24"/>
          <w:szCs w:val="24"/>
        </w:rPr>
        <w:t>Оценка надежности теплоснабжения</w:t>
      </w:r>
    </w:p>
    <w:p>
      <w:pPr>
        <w:pStyle w:val="Normal"/>
        <w:ind w:firstLine="709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tabs>
          <w:tab w:val="clear" w:pos="708"/>
          <w:tab w:val="left" w:pos="993" w:leader="none"/>
        </w:tabs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К перечню возможных последствий аварийных ситуаций на тепловых сетях и источниках тепловой энергии относятся: </w:t>
      </w:r>
    </w:p>
    <w:p>
      <w:pPr>
        <w:pStyle w:val="ListParagraph"/>
        <w:numPr>
          <w:ilvl w:val="0"/>
          <w:numId w:val="6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кратковременное нарушение теплоснабжения населения, объектов социальной сферы; </w:t>
      </w:r>
    </w:p>
    <w:p>
      <w:pPr>
        <w:pStyle w:val="ListParagraph"/>
        <w:numPr>
          <w:ilvl w:val="0"/>
          <w:numId w:val="6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>полное ограничение режима потребления тепловой энергии для населения, объектов социальной сферы;</w:t>
      </w:r>
    </w:p>
    <w:p>
      <w:pPr>
        <w:pStyle w:val="ListParagraph"/>
        <w:numPr>
          <w:ilvl w:val="0"/>
          <w:numId w:val="6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причинение вреда третьим лицам; </w:t>
      </w:r>
    </w:p>
    <w:p>
      <w:pPr>
        <w:pStyle w:val="ListParagraph"/>
        <w:numPr>
          <w:ilvl w:val="0"/>
          <w:numId w:val="6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разрушение объектов теплоснабжения (котлов, тепловых сетей, источников тепловой энергии). </w:t>
      </w:r>
    </w:p>
    <w:p>
      <w:pPr>
        <w:pStyle w:val="Normal"/>
        <w:tabs>
          <w:tab w:val="clear" w:pos="708"/>
          <w:tab w:val="left" w:pos="993" w:leader="none"/>
        </w:tabs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Наиболее вероятными причинами возникновения аварий и сбоев в работе могут послужить: </w:t>
      </w:r>
    </w:p>
    <w:p>
      <w:pPr>
        <w:pStyle w:val="ListParagraph"/>
        <w:numPr>
          <w:ilvl w:val="0"/>
          <w:numId w:val="7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>перебои в топливоснабжении;</w:t>
      </w:r>
    </w:p>
    <w:p>
      <w:pPr>
        <w:pStyle w:val="ListParagraph"/>
        <w:numPr>
          <w:ilvl w:val="0"/>
          <w:numId w:val="7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перебои в электроснабжении; </w:t>
      </w:r>
    </w:p>
    <w:p>
      <w:pPr>
        <w:pStyle w:val="ListParagraph"/>
        <w:numPr>
          <w:ilvl w:val="0"/>
          <w:numId w:val="7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перебои в водоснабжении; - износ оборудования; </w:t>
      </w:r>
    </w:p>
    <w:p>
      <w:pPr>
        <w:pStyle w:val="ListParagraph"/>
        <w:numPr>
          <w:ilvl w:val="0"/>
          <w:numId w:val="7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>неблагоприятные погодно-климатические явления;</w:t>
      </w:r>
    </w:p>
    <w:p>
      <w:pPr>
        <w:pStyle w:val="ListParagraph"/>
        <w:numPr>
          <w:ilvl w:val="0"/>
          <w:numId w:val="7"/>
        </w:numPr>
        <w:tabs>
          <w:tab w:val="clear" w:pos="708"/>
          <w:tab w:val="left" w:pos="993" w:leader="none"/>
        </w:tabs>
        <w:spacing w:before="0" w:after="0"/>
        <w:ind w:left="0" w:firstLine="709"/>
        <w:contextualSpacing/>
        <w:jc w:val="both"/>
        <w:rPr>
          <w:color w:val="auto"/>
        </w:rPr>
      </w:pPr>
      <w:r>
        <w:rPr>
          <w:color w:val="auto"/>
          <w:sz w:val="24"/>
          <w:szCs w:val="24"/>
        </w:rPr>
        <w:t>человеческий фактор.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Развитие системы централизованного теплоснабжения позволит повысить надежность централизованного теплоснабжения и достигнуть более высокого коэффициента надежности за счет повышения надежности источника тепловой энергии, снижения доли ветхих сетей и т.д.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Согласно требованиям методических указаний по анализу показателей, используемых для оценки надежности систем теплоснабжения, утвержденных приказом № 310 от 26 июля 2013 года Министерства регионального развития РФ, для оценки надежности системы теплоснабжения используются следующие показатели: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1)</w:t>
        <w:tab/>
        <w:t>Показатель надежности электроснабжения источников тепловой энергии. Показатель надежности электроснабжения источников тепловой энергии (Кэ) характеризуется наличием или отсутствием резервного электропитания: Кэ = 1,0 - при наличии резервного электроснабжения; Кэ = 0,6 - при отсутствии резервного электроснабжения;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2)</w:t>
        <w:tab/>
        <w:t>Показатель надежности водоснабжения источников тепловой энергии. Показатель надежности водоснабжения источников тепловой энергии (Кв) характеризуется наличием или отсутствием резервного водоснабжения: Кв = 1,0 - при наличии резервного водоснабжения, Кв = 0,6 - при отсутствии резервного водоснабжения;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3)</w:t>
        <w:tab/>
        <w:t>Показатель надежности топливоснабжения источников тепловой энергии. Показатель надежности топливоснабжения источников тепловой энергии (Кт) характеризуется наличием или отсутствием резервного топливоснабжения: Кт = 1,0 - при наличии резервного топлива, Кт = 0,5 - при отсутствии резервного топлива;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4)</w:t>
        <w:tab/>
        <w:t>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(Кб) характеризуется долей (%) тепловой нагрузки, не обеспеченной мощностью источников тепловой энергии и/или пропускной способностью тепловых сетей: Кб = 1,0 - полная обеспеченность Кб = 0,8 - не обеспечена в размере 10% и менее, Кб = 0,5 - не обеспечена в размере более 10%;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5)</w:t>
        <w:tab/>
        <w:t>Показатель уровня резервирования источников тепловой энергии и элементов тепловой сети путем их кольцевания и устройств перемычек. показатель уровня резервирования источников тепловой энергии и элементов тепловой сети путем их кольцевания и устройства перемычек (Кр), характеризуемый отношением резервируемой расчетной тепловой нагрузки к сумме расчетных тепловых нагрузок (%), подлежащих резервированию согласно схеме теплоснабжения поселений, городских округов, выраженный в %: от 90% до 100% - Кр = 1,0; от 70% до 90% включительно - Кр = 0,7; от 50% до 70% включительно - Кр = 0,5; от 30% до 50% включительно - Кр = 0,3; менее 30% включительно - Кр = 0,2;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6)</w:t>
        <w:tab/>
        <w:t>Показатель технического состояния тепловых сетей Кс,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7)</w:t>
        <w:tab/>
        <w:t>Показатель интенсивности отказов сетей теплоснабжения (ед./км в год). В зависимости от интенсивности отказов (Иотк тс) определяется показатель надежности тепловых сетей (Котк тс): до 0,2 включительно- Котк тс = 1,0; от 0,2 до 0,6 включительно- Котк тс = 0,8; от 0,6 - 1,2 включительно - Котк тс = 0,6; свыше 1,2- Котк тс = 0,5;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8)</w:t>
        <w:tab/>
        <w:t>Показатель интенсивности отказов теплового источника (Котк ит) Определяется, как среднее арифметическое Кэ, Кв, Кт. В зависимости от интенсивности отказов (Иотк ит) определяется показатель надежности теплового источника (Котк ит): до 0,2 включительно- Котк ит = 1,0; от 0,2 до 0,6 включительно - Котк ит = 0,8; от 0,6 - 1,2 включительно- Котк ит = 0,6.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9)</w:t>
        <w:tab/>
        <w:t>Показатель относительного аварийного недоотпуска тепла. В зависимости от величины относительного недоотпуска тепла (Qнед) определяется показатель надежности (Кнед): до 0,1% включительно - Кнед = 1,0; от 0,1% до 0,3% включительно- Кнед = 0,8; от 0,3% до 0,5% включительно- Кнед = 0,6; от 0,5% до 1,0% включительно - Кнед = 0,5; свыше 1,0% - Кнед = 0,2;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10)</w:t>
        <w:tab/>
        <w:t>Показатель готовности теплоснабжающих организаций (Кгот)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персоналом; оснащенности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>
      <w:pPr>
        <w:pStyle w:val="Normal"/>
        <w:ind w:firstLine="426"/>
        <w:jc w:val="both"/>
        <w:rPr>
          <w:color w:val="auto"/>
        </w:rPr>
      </w:pPr>
      <w:r>
        <w:rPr>
          <w:color w:val="auto"/>
          <w:sz w:val="24"/>
          <w:szCs w:val="24"/>
        </w:rPr>
        <w:t>В зависимости от полученных показателей надежности Кэ, Кв, Кт и Ки, источники тепловой энергии оценены как:</w:t>
      </w:r>
    </w:p>
    <w:p>
      <w:pPr>
        <w:pStyle w:val="Normal"/>
        <w:numPr>
          <w:ilvl w:val="0"/>
          <w:numId w:val="2"/>
        </w:numPr>
        <w:tabs>
          <w:tab w:val="clear" w:pos="708"/>
          <w:tab w:val="left" w:pos="993" w:leader="none"/>
        </w:tabs>
        <w:suppressAutoHyphens w:val="false"/>
        <w:ind w:left="0"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высоконадежные - при Кэ = Кв = Кт = Ки = 1;</w:t>
      </w:r>
    </w:p>
    <w:p>
      <w:pPr>
        <w:pStyle w:val="Normal"/>
        <w:numPr>
          <w:ilvl w:val="0"/>
          <w:numId w:val="2"/>
        </w:numPr>
        <w:tabs>
          <w:tab w:val="clear" w:pos="708"/>
          <w:tab w:val="left" w:pos="993" w:leader="none"/>
        </w:tabs>
        <w:suppressAutoHyphens w:val="false"/>
        <w:ind w:left="0"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надежные - при Кэ = Кв = Кт = 1 и Ки = 0,5;</w:t>
      </w:r>
    </w:p>
    <w:p>
      <w:pPr>
        <w:pStyle w:val="Normal"/>
        <w:numPr>
          <w:ilvl w:val="0"/>
          <w:numId w:val="2"/>
        </w:numPr>
        <w:tabs>
          <w:tab w:val="clear" w:pos="708"/>
          <w:tab w:val="left" w:pos="993" w:leader="none"/>
        </w:tabs>
        <w:suppressAutoHyphens w:val="false"/>
        <w:ind w:left="0"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малонадежные - при Ки = 0,5 и при значении меньше 1 одного из показателей Кэ, Кв, Кт;</w:t>
      </w:r>
    </w:p>
    <w:p>
      <w:pPr>
        <w:pStyle w:val="Normal"/>
        <w:numPr>
          <w:ilvl w:val="0"/>
          <w:numId w:val="2"/>
        </w:numPr>
        <w:tabs>
          <w:tab w:val="clear" w:pos="708"/>
          <w:tab w:val="left" w:pos="993" w:leader="none"/>
        </w:tabs>
        <w:suppressAutoHyphens w:val="false"/>
        <w:ind w:left="0"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ненадежные - при Ки = 0,2 и/или значении меньше 1 у 2-х и более показателей Кэ, Кв, Кт.</w:t>
      </w:r>
    </w:p>
    <w:p>
      <w:pPr>
        <w:pStyle w:val="Normal"/>
        <w:tabs>
          <w:tab w:val="clear" w:pos="708"/>
          <w:tab w:val="left" w:pos="993" w:leader="none"/>
        </w:tabs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В зависимости от полученных показателей надежности тепловые сети оценены как:</w:t>
      </w:r>
    </w:p>
    <w:p>
      <w:pPr>
        <w:pStyle w:val="Normal"/>
        <w:numPr>
          <w:ilvl w:val="0"/>
          <w:numId w:val="2"/>
        </w:numPr>
        <w:tabs>
          <w:tab w:val="clear" w:pos="708"/>
          <w:tab w:val="left" w:pos="993" w:leader="none"/>
        </w:tabs>
        <w:suppressAutoHyphens w:val="false"/>
        <w:ind w:left="0"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высоконадежные - более 0,9;</w:t>
      </w:r>
    </w:p>
    <w:p>
      <w:pPr>
        <w:pStyle w:val="Normal"/>
        <w:numPr>
          <w:ilvl w:val="0"/>
          <w:numId w:val="2"/>
        </w:numPr>
        <w:tabs>
          <w:tab w:val="clear" w:pos="708"/>
          <w:tab w:val="left" w:pos="993" w:leader="none"/>
        </w:tabs>
        <w:suppressAutoHyphens w:val="false"/>
        <w:ind w:left="0"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надежные - 0,75-0,89;</w:t>
      </w:r>
    </w:p>
    <w:p>
      <w:pPr>
        <w:pStyle w:val="Normal"/>
        <w:numPr>
          <w:ilvl w:val="0"/>
          <w:numId w:val="2"/>
        </w:numPr>
        <w:tabs>
          <w:tab w:val="clear" w:pos="708"/>
          <w:tab w:val="left" w:pos="993" w:leader="none"/>
        </w:tabs>
        <w:suppressAutoHyphens w:val="false"/>
        <w:ind w:left="0"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малонадежные- 0,5-0,74;</w:t>
      </w:r>
    </w:p>
    <w:p>
      <w:pPr>
        <w:pStyle w:val="Normal"/>
        <w:numPr>
          <w:ilvl w:val="0"/>
          <w:numId w:val="2"/>
        </w:numPr>
        <w:tabs>
          <w:tab w:val="clear" w:pos="708"/>
          <w:tab w:val="left" w:pos="993" w:leader="none"/>
        </w:tabs>
        <w:suppressAutoHyphens w:val="false"/>
        <w:ind w:left="0"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ненадежные- менее 0,5.</w:t>
      </w:r>
    </w:p>
    <w:p>
      <w:pPr>
        <w:pStyle w:val="Normal"/>
        <w:tabs>
          <w:tab w:val="clear" w:pos="708"/>
          <w:tab w:val="left" w:pos="993" w:leader="none"/>
        </w:tabs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Общая оценка надежности системы теплоснабжения определена исходя из оценок надежности источников тепловой энергии и тепловых сетей.</w:t>
      </w:r>
    </w:p>
    <w:p>
      <w:pPr>
        <w:sectPr>
          <w:type w:val="nextPage"/>
          <w:pgSz w:w="11906" w:h="16838"/>
          <w:pgMar w:left="1701" w:right="851" w:gutter="0" w:header="0" w:top="568" w:footer="0" w:bottom="1134"/>
          <w:pgNumType w:fmt="decimal"/>
          <w:formProt w:val="false"/>
          <w:textDirection w:val="lrTb"/>
          <w:docGrid w:type="default" w:linePitch="360" w:charSpace="0"/>
        </w:sectPr>
        <w:pStyle w:val="Normal"/>
        <w:tabs>
          <w:tab w:val="clear" w:pos="708"/>
          <w:tab w:val="left" w:pos="993" w:leader="none"/>
        </w:tabs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Оценка основных показателей надежности представлена в таблице ниже.</w:t>
      </w:r>
    </w:p>
    <w:p>
      <w:pPr>
        <w:pStyle w:val="Style25"/>
        <w:spacing w:lineRule="auto" w:line="360"/>
        <w:jc w:val="both"/>
        <w:rPr>
          <w:color w:val="auto"/>
        </w:rPr>
      </w:pPr>
      <w:r>
        <w:rPr>
          <w:color w:val="auto"/>
          <w:sz w:val="24"/>
          <w:szCs w:val="28"/>
        </w:rPr>
        <w:t>Таблица 8. Оценка основных показателей надежности системы теплоснабжения</w:t>
      </w:r>
    </w:p>
    <w:tbl>
      <w:tblPr>
        <w:tblW w:w="5000" w:type="pct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060"/>
        <w:gridCol w:w="873"/>
        <w:gridCol w:w="877"/>
        <w:gridCol w:w="899"/>
        <w:gridCol w:w="1042"/>
        <w:gridCol w:w="903"/>
        <w:gridCol w:w="1061"/>
        <w:gridCol w:w="851"/>
        <w:gridCol w:w="919"/>
        <w:gridCol w:w="969"/>
        <w:gridCol w:w="1087"/>
        <w:gridCol w:w="1141"/>
        <w:gridCol w:w="928"/>
        <w:gridCol w:w="819"/>
        <w:gridCol w:w="1141"/>
      </w:tblGrid>
      <w:tr>
        <w:trPr>
          <w:trHeight w:val="20" w:hRule="atLeast"/>
        </w:trPr>
        <w:tc>
          <w:tcPr>
            <w:tcW w:w="10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Теплоснабжающая организации</w:t>
            </w:r>
          </w:p>
        </w:tc>
        <w:tc>
          <w:tcPr>
            <w:tcW w:w="13510" w:type="dxa"/>
            <w:gridSpan w:val="1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Показатели, используемые для оценки надежности систем теплоснабжения</w:t>
            </w:r>
          </w:p>
        </w:tc>
      </w:tr>
      <w:tr>
        <w:trPr>
          <w:trHeight w:val="20" w:hRule="atLeast"/>
        </w:trPr>
        <w:tc>
          <w:tcPr>
            <w:tcW w:w="106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175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интенсивность отказов систем теплоснабжения</w:t>
            </w:r>
          </w:p>
        </w:tc>
        <w:tc>
          <w:tcPr>
            <w:tcW w:w="89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относительный аварийный недоотпуск тепла, Кнед</w:t>
            </w:r>
          </w:p>
        </w:tc>
        <w:tc>
          <w:tcPr>
            <w:tcW w:w="104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надежность электроснабжения источников тепловой энергии, Кэ</w:t>
            </w:r>
          </w:p>
        </w:tc>
        <w:tc>
          <w:tcPr>
            <w:tcW w:w="90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надежность водоснабжения источников тепловой энергии, Кв</w:t>
            </w:r>
          </w:p>
        </w:tc>
        <w:tc>
          <w:tcPr>
            <w:tcW w:w="1061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надежность топливоснабжения источников тепловой энергии, Кт</w:t>
            </w:r>
          </w:p>
        </w:tc>
        <w:tc>
          <w:tcPr>
            <w:tcW w:w="851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соответствие тепловой мощности источников тепловой энергии и пропускной способности тепловых сетей расчетным тепловым нагрузкам потребителей, Кб</w:t>
            </w:r>
          </w:p>
        </w:tc>
        <w:tc>
          <w:tcPr>
            <w:tcW w:w="91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уровень резервирования источников тепловой энергии и элементов тепловой сети путем их кольцевания или устройства перемычек, Кр</w:t>
            </w:r>
          </w:p>
        </w:tc>
        <w:tc>
          <w:tcPr>
            <w:tcW w:w="96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техническое состояние тепловых сетей, характеризуемое наличием ветхих, подлежащих замене трубопроводов, Кс</w:t>
            </w:r>
          </w:p>
        </w:tc>
        <w:tc>
          <w:tcPr>
            <w:tcW w:w="5116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готовность теплоснабжающих организаций к проведению аварийно-восстановительных работ в системах теплоснабжения</w:t>
            </w:r>
          </w:p>
        </w:tc>
      </w:tr>
      <w:tr>
        <w:trPr>
          <w:trHeight w:val="20" w:hRule="atLeast"/>
        </w:trPr>
        <w:tc>
          <w:tcPr>
            <w:tcW w:w="106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87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интенсивность отказов тепловых сетей, Котк тс</w:t>
            </w:r>
          </w:p>
        </w:tc>
        <w:tc>
          <w:tcPr>
            <w:tcW w:w="877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интенсивность отказов теплового источника, Котк ит</w:t>
            </w:r>
          </w:p>
        </w:tc>
        <w:tc>
          <w:tcPr>
            <w:tcW w:w="899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104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903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1061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851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919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969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</w:r>
          </w:p>
        </w:tc>
        <w:tc>
          <w:tcPr>
            <w:tcW w:w="1087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готовность теплоснабжающих организаций к проведению аварийно-восстановительных работ в системах теплоснабжения (общий показатель), Кгот</w:t>
            </w:r>
          </w:p>
        </w:tc>
        <w:tc>
          <w:tcPr>
            <w:tcW w:w="114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укомплектованность ремонтным и оперативно-ремонтным персоналом, Кп</w:t>
            </w:r>
          </w:p>
        </w:tc>
        <w:tc>
          <w:tcPr>
            <w:tcW w:w="92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оснащенность машинами, специальными механизмами и оборудованием, Км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наличие основных материально-технических ресурсов, Ктр</w:t>
            </w:r>
          </w:p>
        </w:tc>
        <w:tc>
          <w:tcPr>
            <w:tcW w:w="114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укомплектованность передвижными автономными источниками электропитания для ведения аварийно-восстановительных работ, Кист</w:t>
            </w:r>
          </w:p>
        </w:tc>
      </w:tr>
      <w:tr>
        <w:trPr>
          <w:trHeight w:val="20" w:hRule="atLeast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АО «Абаканская ТЭЦ»</w:t>
            </w:r>
          </w:p>
        </w:tc>
        <w:tc>
          <w:tcPr>
            <w:tcW w:w="87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877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89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1042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90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106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91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96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0,82</w:t>
            </w:r>
          </w:p>
        </w:tc>
        <w:tc>
          <w:tcPr>
            <w:tcW w:w="1087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114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92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81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114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</w:t>
            </w:r>
          </w:p>
        </w:tc>
      </w:tr>
    </w:tbl>
    <w:p>
      <w:pPr>
        <w:pStyle w:val="Style25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</w:r>
    </w:p>
    <w:p>
      <w:pPr>
        <w:pStyle w:val="ConsPlusNormal"/>
        <w:ind w:firstLine="709"/>
        <w:jc w:val="both"/>
        <w:rPr>
          <w:color w:val="auto"/>
        </w:rPr>
      </w:pPr>
      <w:r>
        <w:rPr>
          <w:rFonts w:cs="Times New Roman" w:ascii="Times New Roman" w:hAnsi="Times New Roman"/>
          <w:color w:val="auto"/>
          <w:sz w:val="24"/>
          <w:szCs w:val="24"/>
        </w:rPr>
        <w:t>Общий показатель готовности теплоснабжающих организаций к проведению восстановительных работ в системах теплоснабжения к выполнению аварийно-восстановительных работ определяется следующим образом:</w:t>
      </w:r>
    </w:p>
    <w:p>
      <w:pPr>
        <w:pStyle w:val="ConsPlusNormal"/>
        <w:ind w:firstLine="709"/>
        <w:jc w:val="both"/>
        <w:rPr>
          <w:color w:val="auto"/>
        </w:rPr>
      </w:pPr>
      <w:r>
        <w:rPr>
          <w:rFonts w:cs="Times New Roman" w:ascii="Times New Roman" w:hAnsi="Times New Roman"/>
          <w:color w:val="auto"/>
          <w:sz w:val="24"/>
          <w:szCs w:val="24"/>
        </w:rPr>
        <w:t>Кгот = 0,25 * Кп + 0,35 * Км + 0,3 * Ктр + 0,1 * Кист</w:t>
      </w:r>
    </w:p>
    <w:p>
      <w:pPr>
        <w:pStyle w:val="ConsPlusNormal"/>
        <w:ind w:firstLine="709"/>
        <w:jc w:val="both"/>
        <w:rPr>
          <w:color w:val="auto"/>
        </w:rPr>
      </w:pPr>
      <w:r>
        <w:rPr>
          <w:rFonts w:cs="Times New Roman" w:ascii="Times New Roman" w:hAnsi="Times New Roman"/>
          <w:color w:val="auto"/>
          <w:sz w:val="24"/>
          <w:szCs w:val="24"/>
        </w:rPr>
        <w:t>Общая оценка готовности дается по категориям, представленным в таблице 9 и соответствует категории: удовлетворительная готовность.</w:t>
      </w:r>
    </w:p>
    <w:p>
      <w:pPr>
        <w:pStyle w:val="ConsPlusNormal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cs="Times New Roman" w:ascii="Times New Roman" w:hAnsi="Times New Roman"/>
          <w:color w:val="auto"/>
          <w:sz w:val="24"/>
          <w:szCs w:val="24"/>
        </w:rPr>
      </w:r>
    </w:p>
    <w:p>
      <w:pPr>
        <w:pStyle w:val="Normal"/>
        <w:rPr>
          <w:color w:val="auto"/>
        </w:rPr>
      </w:pPr>
      <w:r>
        <w:rPr>
          <w:b/>
          <w:color w:val="auto"/>
          <w:sz w:val="24"/>
          <w:szCs w:val="24"/>
        </w:rPr>
        <w:t xml:space="preserve">Таблица 9 – Категории оценки готовности </w:t>
      </w:r>
    </w:p>
    <w:p>
      <w:pPr>
        <w:pStyle w:val="Normal"/>
        <w:tabs>
          <w:tab w:val="clear" w:pos="708"/>
          <w:tab w:val="left" w:pos="993" w:leader="none"/>
        </w:tabs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ConsPlusNormal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cs="Times New Roman" w:ascii="Times New Roman" w:hAnsi="Times New Roman"/>
          <w:color w:val="auto"/>
          <w:sz w:val="24"/>
          <w:szCs w:val="24"/>
        </w:rPr>
      </w:r>
    </w:p>
    <w:p>
      <w:pPr>
        <w:pStyle w:val="ConsPlusNormal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cs="Times New Roman" w:ascii="Times New Roman" w:hAnsi="Times New Roman"/>
          <w:color w:val="auto"/>
          <w:sz w:val="24"/>
          <w:szCs w:val="24"/>
        </w:rPr>
      </w:r>
    </w:p>
    <w:tbl>
      <w:tblPr>
        <w:tblpPr w:vertAnchor="page" w:horzAnchor="margin" w:leftFromText="180" w:rightFromText="180" w:tblpX="0" w:tblpY="8899"/>
        <w:tblW w:w="9639" w:type="dxa"/>
        <w:jc w:val="left"/>
        <w:tblInd w:w="75" w:type="dxa"/>
        <w:tblLayout w:type="fixed"/>
        <w:tblCellMar>
          <w:top w:w="0" w:type="dxa"/>
          <w:left w:w="75" w:type="dxa"/>
          <w:bottom w:w="0" w:type="dxa"/>
          <w:right w:w="75" w:type="dxa"/>
        </w:tblCellMar>
        <w:tblLook w:firstRow="0" w:noVBand="0" w:lastRow="0" w:firstColumn="0" w:lastColumn="0" w:noHBand="0" w:val="0000"/>
      </w:tblPr>
      <w:tblGrid>
        <w:gridCol w:w="2296"/>
        <w:gridCol w:w="2491"/>
        <w:gridCol w:w="4852"/>
      </w:tblGrid>
      <w:tr>
        <w:trPr/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Кгот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(Кп; Км); Ктр</w:t>
            </w:r>
          </w:p>
        </w:tc>
        <w:tc>
          <w:tcPr>
            <w:tcW w:w="4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Категория готовности</w:t>
            </w:r>
          </w:p>
        </w:tc>
      </w:tr>
      <w:tr>
        <w:trPr/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0,85 - 1,0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0,75 и более</w:t>
            </w:r>
          </w:p>
        </w:tc>
        <w:tc>
          <w:tcPr>
            <w:tcW w:w="4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удовлетворительная готовность</w:t>
            </w:r>
          </w:p>
        </w:tc>
      </w:tr>
      <w:tr>
        <w:trPr/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0,85 - 1,0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до 0,75</w:t>
            </w:r>
          </w:p>
        </w:tc>
        <w:tc>
          <w:tcPr>
            <w:tcW w:w="4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ограниченная готовность</w:t>
            </w:r>
          </w:p>
        </w:tc>
      </w:tr>
      <w:tr>
        <w:trPr/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0,7 - 0,84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0,5 и более</w:t>
            </w:r>
          </w:p>
        </w:tc>
        <w:tc>
          <w:tcPr>
            <w:tcW w:w="4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ограниченная готовность</w:t>
            </w:r>
          </w:p>
        </w:tc>
      </w:tr>
      <w:tr>
        <w:trPr/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0,7 - 0,84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до 0,5</w:t>
            </w:r>
          </w:p>
        </w:tc>
        <w:tc>
          <w:tcPr>
            <w:tcW w:w="4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неготовность</w:t>
            </w:r>
          </w:p>
        </w:tc>
      </w:tr>
      <w:tr>
        <w:trPr/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менее 0,7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-</w:t>
            </w:r>
          </w:p>
        </w:tc>
        <w:tc>
          <w:tcPr>
            <w:tcW w:w="4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cs="Times New Roman" w:ascii="Times New Roman" w:hAnsi="Times New Roman"/>
                <w:color w:val="00B050"/>
              </w:rPr>
              <w:t>неготовность</w:t>
            </w:r>
          </w:p>
        </w:tc>
      </w:tr>
    </w:tbl>
    <w:p>
      <w:pPr>
        <w:pStyle w:val="ConsPlusNormal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cs="Times New Roman" w:ascii="Times New Roman" w:hAnsi="Times New Roman"/>
          <w:color w:val="auto"/>
          <w:sz w:val="24"/>
          <w:szCs w:val="24"/>
        </w:rPr>
      </w:r>
    </w:p>
    <w:p>
      <w:pPr>
        <w:pStyle w:val="ConsPlusNormal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cs="Times New Roman" w:ascii="Times New Roman" w:hAnsi="Times New Roman"/>
          <w:color w:val="auto"/>
          <w:sz w:val="24"/>
          <w:szCs w:val="24"/>
        </w:rPr>
      </w:r>
    </w:p>
    <w:p>
      <w:pPr>
        <w:pStyle w:val="ConsPlusNormal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cs="Times New Roman" w:ascii="Times New Roman" w:hAnsi="Times New Roman"/>
          <w:color w:val="auto"/>
          <w:sz w:val="24"/>
          <w:szCs w:val="24"/>
        </w:rPr>
      </w:r>
    </w:p>
    <w:p>
      <w:pPr>
        <w:pStyle w:val="ConsPlusNormal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cs="Times New Roman" w:ascii="Times New Roman" w:hAnsi="Times New Roman"/>
          <w:color w:val="auto"/>
          <w:sz w:val="24"/>
          <w:szCs w:val="24"/>
        </w:rPr>
      </w:r>
    </w:p>
    <w:p>
      <w:pPr>
        <w:sectPr>
          <w:type w:val="nextPage"/>
          <w:pgSz w:orient="landscape" w:w="16838" w:h="11906"/>
          <w:pgMar w:left="1134" w:right="1134" w:gutter="0" w:header="0" w:top="709" w:footer="0" w:bottom="426"/>
          <w:pgNumType w:fmt="decimal"/>
          <w:formProt w:val="false"/>
          <w:textDirection w:val="lrTb"/>
          <w:docGrid w:type="default" w:linePitch="360" w:charSpace="0"/>
        </w:sectPr>
        <w:pStyle w:val="ConsPlusNormal"/>
        <w:ind w:firstLine="709"/>
        <w:rPr>
          <w:color w:val="auto"/>
        </w:rPr>
      </w:pPr>
      <w:r>
        <w:rPr>
          <w:rFonts w:cs="Times New Roman" w:ascii="Times New Roman" w:hAnsi="Times New Roman"/>
          <w:b/>
          <w:color w:val="auto"/>
          <w:sz w:val="24"/>
          <w:szCs w:val="24"/>
        </w:rPr>
        <w:t>Общая оценка надежности системы теплоснабжения определена как надежная.</w:t>
      </w:r>
    </w:p>
    <w:p>
      <w:pPr>
        <w:pStyle w:val="Normal"/>
        <w:tabs>
          <w:tab w:val="clear" w:pos="708"/>
          <w:tab w:val="left" w:pos="993" w:leader="none"/>
        </w:tabs>
        <w:ind w:firstLine="709"/>
        <w:jc w:val="both"/>
        <w:rPr>
          <w:color w:val="auto"/>
        </w:rPr>
      </w:pPr>
      <w:r>
        <w:rPr>
          <w:color w:val="auto"/>
          <w:szCs w:val="24"/>
        </w:rPr>
        <w:t>Время восстановления теплоснабжения потребителей после отключений не превышает нормативного, определенного по СП 124.13330.2012 «Тепловые сети».</w:t>
      </w:r>
    </w:p>
    <w:p>
      <w:pPr>
        <w:pStyle w:val="Standard"/>
        <w:rPr>
          <w:b/>
          <w:b/>
          <w:bCs/>
          <w:color w:val="auto"/>
          <w:highlight w:val="yellow"/>
        </w:rPr>
      </w:pPr>
      <w:r>
        <w:rPr>
          <w:b/>
          <w:bCs/>
          <w:color w:val="auto"/>
          <w:highlight w:val="yellow"/>
        </w:rPr>
      </w:r>
    </w:p>
    <w:p>
      <w:pPr>
        <w:pStyle w:val="Standard"/>
        <w:ind w:firstLine="708"/>
        <w:jc w:val="both"/>
        <w:rPr>
          <w:color w:val="auto"/>
        </w:rPr>
      </w:pPr>
      <w:r>
        <w:rPr>
          <w:b/>
          <w:bCs/>
          <w:color w:val="auto"/>
        </w:rPr>
        <w:t xml:space="preserve">6.1. Гидравлические испытания на тепловых сетях </w:t>
      </w:r>
    </w:p>
    <w:p>
      <w:pPr>
        <w:pStyle w:val="NormalWeb"/>
        <w:spacing w:before="33" w:after="33"/>
        <w:ind w:firstLine="708"/>
        <w:jc w:val="both"/>
        <w:rPr>
          <w:color w:val="auto"/>
        </w:rPr>
      </w:pPr>
      <w:r>
        <w:rPr>
          <w:color w:val="auto"/>
        </w:rPr>
        <w:t>Испытания на прочность и плотность оборудования систем отопления, вентиляции, горячего водоснабжения и центрального кондиционирования должны производиться ежегодно после окончания отопительного периода для выявления дефектов, а также перед началом отопительного периода после окончания ремонта (п. 5.1.6. Правил № 170).</w:t>
      </w:r>
    </w:p>
    <w:p>
      <w:pPr>
        <w:pStyle w:val="NormalWeb"/>
        <w:spacing w:before="33" w:after="33"/>
        <w:ind w:firstLine="709"/>
        <w:jc w:val="both"/>
        <w:rPr>
          <w:color w:val="auto"/>
        </w:rPr>
      </w:pPr>
      <w:r>
        <w:rPr>
          <w:color w:val="auto"/>
        </w:rPr>
        <w:t>Аналогичные требования предусмотрены пунктом 9.2.12 Правил технической эксплуатации тепловых установок, утвержденных приказом Министерства энергетики Российской Федерации от 24.03.2003 № 115 (далее – Правила № 115).</w:t>
      </w:r>
    </w:p>
    <w:p>
      <w:pPr>
        <w:pStyle w:val="Normal"/>
        <w:ind w:firstLine="709"/>
        <w:jc w:val="both"/>
        <w:rPr>
          <w:color w:val="auto"/>
          <w:sz w:val="24"/>
          <w:szCs w:val="24"/>
          <w:highlight w:val="green"/>
        </w:rPr>
      </w:pPr>
      <w:r>
        <w:rPr>
          <w:color w:val="auto"/>
          <w:sz w:val="24"/>
          <w:szCs w:val="24"/>
          <w:highlight w:val="green"/>
        </w:rPr>
      </w:r>
    </w:p>
    <w:p>
      <w:pPr>
        <w:pStyle w:val="Normal"/>
        <w:ind w:firstLine="708"/>
        <w:rPr>
          <w:color w:val="auto"/>
        </w:rPr>
      </w:pPr>
      <w:r>
        <w:rPr>
          <w:b/>
          <w:color w:val="auto"/>
          <w:sz w:val="24"/>
          <w:szCs w:val="24"/>
        </w:rPr>
        <w:t>Часть 7 «Цены (тарифы) в сфере теплоснабжения»</w:t>
      </w:r>
    </w:p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Государственным комитетом тарифного регулирования Республики Хакасия</w:t>
      </w:r>
      <w:bookmarkStart w:id="0" w:name="_GoBack"/>
      <w:bookmarkEnd w:id="0"/>
      <w:r>
        <w:rPr>
          <w:color w:val="auto"/>
          <w:sz w:val="24"/>
          <w:szCs w:val="24"/>
        </w:rPr>
        <w:t xml:space="preserve"> устанавливаются цены (тарифы) на тепловую энергию для предприятий, обеспечивающих выработку и передачу тепловой энергии в системах теплоснабжения с целью реализации потребителям.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В системах теплоснабжения МО Опытненский сельсовет по каждому населенному пункту (с. Зеленое) формируются следующие услуги для потребителей:</w:t>
      </w:r>
    </w:p>
    <w:p>
      <w:pPr>
        <w:pStyle w:val="14"/>
        <w:numPr>
          <w:ilvl w:val="0"/>
          <w:numId w:val="4"/>
        </w:numPr>
        <w:tabs>
          <w:tab w:val="clear" w:pos="708"/>
          <w:tab w:val="left" w:pos="993" w:leader="none"/>
        </w:tabs>
        <w:spacing w:before="0" w:after="0"/>
        <w:ind w:left="0" w:firstLine="709"/>
        <w:rPr>
          <w:color w:val="auto"/>
        </w:rPr>
      </w:pPr>
      <w:r>
        <w:rPr>
          <w:rFonts w:cs="Times New Roman" w:ascii="Times New Roman" w:hAnsi="Times New Roman"/>
          <w:color w:val="auto"/>
          <w:sz w:val="24"/>
          <w:szCs w:val="24"/>
          <w:lang w:val="x-none"/>
        </w:rPr>
        <w:t>тепловая энергия для отопления;</w:t>
      </w:r>
    </w:p>
    <w:p>
      <w:pPr>
        <w:pStyle w:val="14"/>
        <w:numPr>
          <w:ilvl w:val="0"/>
          <w:numId w:val="4"/>
        </w:numPr>
        <w:tabs>
          <w:tab w:val="clear" w:pos="708"/>
          <w:tab w:val="left" w:pos="993" w:leader="none"/>
        </w:tabs>
        <w:spacing w:before="0" w:after="0"/>
        <w:ind w:left="0" w:firstLine="709"/>
        <w:rPr>
          <w:color w:val="auto"/>
        </w:rPr>
      </w:pPr>
      <w:r>
        <w:rPr>
          <w:rFonts w:cs="Times New Roman" w:ascii="Times New Roman" w:hAnsi="Times New Roman"/>
          <w:color w:val="auto"/>
          <w:sz w:val="24"/>
          <w:szCs w:val="24"/>
          <w:lang w:val="x-none"/>
        </w:rPr>
        <w:t>горячее водоснабжение;</w:t>
      </w:r>
    </w:p>
    <w:p>
      <w:pPr>
        <w:pStyle w:val="14"/>
        <w:numPr>
          <w:ilvl w:val="0"/>
          <w:numId w:val="4"/>
        </w:numPr>
        <w:tabs>
          <w:tab w:val="clear" w:pos="708"/>
          <w:tab w:val="left" w:pos="993" w:leader="none"/>
        </w:tabs>
        <w:spacing w:before="0" w:after="0"/>
        <w:ind w:left="0" w:firstLine="709"/>
        <w:rPr>
          <w:color w:val="auto"/>
        </w:rPr>
      </w:pPr>
      <w:r>
        <w:rPr>
          <w:rFonts w:cs="Times New Roman" w:ascii="Times New Roman" w:hAnsi="Times New Roman"/>
          <w:color w:val="auto"/>
          <w:sz w:val="24"/>
          <w:szCs w:val="24"/>
          <w:lang w:val="x-none"/>
        </w:rPr>
        <w:t>горячее водоснабжение с использованием теплоносителя из отопительных приборов.</w:t>
      </w:r>
    </w:p>
    <w:p>
      <w:pPr>
        <w:pStyle w:val="14"/>
        <w:spacing w:before="0" w:after="0"/>
        <w:ind w:left="0" w:firstLine="709"/>
        <w:rPr>
          <w:color w:val="auto"/>
        </w:rPr>
      </w:pPr>
      <w:r>
        <w:rPr>
          <w:rFonts w:cs="Times New Roman" w:ascii="Times New Roman" w:hAnsi="Times New Roman"/>
          <w:color w:val="auto"/>
          <w:sz w:val="24"/>
          <w:szCs w:val="24"/>
        </w:rPr>
        <w:t>Тарифы на услуги теплоснабжения представлены в таблице ниже.</w:t>
      </w:r>
    </w:p>
    <w:p>
      <w:pPr>
        <w:pStyle w:val="13"/>
        <w:ind w:hanging="0"/>
        <w:rPr>
          <w:color w:val="auto"/>
        </w:rPr>
      </w:pPr>
      <w:r>
        <w:rPr>
          <w:rFonts w:cs="Times New Roman"/>
          <w:b/>
          <w:i w:val="false"/>
          <w:color w:val="auto"/>
          <w:sz w:val="24"/>
          <w:szCs w:val="24"/>
          <w:lang w:val="x-none"/>
        </w:rPr>
        <w:t>Таблица 1</w:t>
      </w:r>
      <w:r>
        <w:rPr>
          <w:rFonts w:cs="Times New Roman"/>
          <w:b/>
          <w:i w:val="false"/>
          <w:color w:val="auto"/>
          <w:sz w:val="24"/>
          <w:szCs w:val="24"/>
        </w:rPr>
        <w:t>0</w:t>
      </w:r>
      <w:r>
        <w:rPr>
          <w:rFonts w:cs="Times New Roman"/>
          <w:b/>
          <w:i w:val="false"/>
          <w:color w:val="auto"/>
          <w:sz w:val="24"/>
          <w:szCs w:val="24"/>
          <w:lang w:val="x-none"/>
        </w:rPr>
        <w:t xml:space="preserve">. Тарифы на услуги теплоснабжения </w:t>
      </w:r>
      <w:r>
        <w:rPr>
          <w:rFonts w:cs="Times New Roman"/>
          <w:b/>
          <w:i w:val="false"/>
          <w:color w:val="auto"/>
          <w:sz w:val="24"/>
          <w:szCs w:val="24"/>
        </w:rPr>
        <w:t>на</w:t>
      </w:r>
      <w:r>
        <w:rPr>
          <w:rFonts w:cs="Times New Roman"/>
          <w:b/>
          <w:i w:val="false"/>
          <w:color w:val="auto"/>
          <w:sz w:val="24"/>
          <w:szCs w:val="24"/>
          <w:lang w:val="x-none"/>
        </w:rPr>
        <w:t xml:space="preserve"> 20</w:t>
      </w:r>
      <w:r>
        <w:rPr>
          <w:rFonts w:cs="Times New Roman"/>
          <w:b/>
          <w:i w:val="false"/>
          <w:color w:val="auto"/>
          <w:sz w:val="24"/>
          <w:szCs w:val="24"/>
        </w:rPr>
        <w:t>24</w:t>
      </w:r>
      <w:r>
        <w:rPr>
          <w:rFonts w:cs="Times New Roman"/>
          <w:b/>
          <w:i w:val="false"/>
          <w:color w:val="auto"/>
          <w:sz w:val="24"/>
          <w:szCs w:val="24"/>
          <w:lang w:val="x-none"/>
        </w:rPr>
        <w:t xml:space="preserve"> год </w:t>
      </w:r>
    </w:p>
    <w:tbl>
      <w:tblPr>
        <w:tblW w:w="9314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486"/>
        <w:gridCol w:w="1292"/>
        <w:gridCol w:w="2268"/>
        <w:gridCol w:w="2267"/>
      </w:tblGrid>
      <w:tr>
        <w:trPr>
          <w:trHeight w:val="756" w:hRule="atLeast"/>
        </w:trPr>
        <w:tc>
          <w:tcPr>
            <w:tcW w:w="3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Наименование</w:t>
            </w:r>
          </w:p>
        </w:tc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Единица измерения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iCs/>
                <w:color w:val="auto"/>
                <w:sz w:val="24"/>
                <w:szCs w:val="24"/>
              </w:rPr>
            </w:pPr>
            <w:r>
              <w:rPr>
                <w:iCs/>
                <w:color w:val="auto"/>
                <w:sz w:val="24"/>
                <w:szCs w:val="24"/>
              </w:rPr>
              <w:t>АО «Абаканская ТЭЦ»</w:t>
            </w:r>
          </w:p>
          <w:p>
            <w:pPr>
              <w:pStyle w:val="Normal"/>
              <w:widowControl w:val="false"/>
              <w:jc w:val="center"/>
              <w:rPr>
                <w:iCs/>
                <w:color w:val="auto"/>
                <w:sz w:val="24"/>
                <w:szCs w:val="24"/>
              </w:rPr>
            </w:pPr>
            <w:r>
              <w:rPr>
                <w:iCs/>
                <w:color w:val="auto"/>
                <w:sz w:val="24"/>
                <w:szCs w:val="24"/>
              </w:rPr>
              <w:t>( 01.01.2024 г)</w:t>
            </w:r>
          </w:p>
        </w:tc>
        <w:tc>
          <w:tcPr>
            <w:tcW w:w="226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iCs/>
                <w:color w:val="auto"/>
                <w:sz w:val="24"/>
                <w:szCs w:val="24"/>
              </w:rPr>
            </w:pPr>
            <w:r>
              <w:rPr>
                <w:iCs/>
                <w:color w:val="auto"/>
                <w:sz w:val="24"/>
                <w:szCs w:val="24"/>
              </w:rPr>
              <w:t>АО «Абаканская ТЭЦ»</w:t>
            </w:r>
          </w:p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iCs/>
                <w:color w:val="auto"/>
                <w:sz w:val="24"/>
                <w:szCs w:val="24"/>
              </w:rPr>
              <w:t>( 01.07.2024 г)</w:t>
            </w:r>
          </w:p>
        </w:tc>
      </w:tr>
      <w:tr>
        <w:trPr>
          <w:trHeight w:val="252" w:hRule="atLeast"/>
        </w:trPr>
        <w:tc>
          <w:tcPr>
            <w:tcW w:w="3486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Тариф для населения (с НДС)</w:t>
            </w:r>
          </w:p>
        </w:tc>
        <w:tc>
          <w:tcPr>
            <w:tcW w:w="1292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Руб/Гкал</w:t>
            </w:r>
          </w:p>
        </w:tc>
        <w:tc>
          <w:tcPr>
            <w:tcW w:w="22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2486,57</w:t>
            </w:r>
          </w:p>
        </w:tc>
        <w:tc>
          <w:tcPr>
            <w:tcW w:w="2267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2486,57</w:t>
            </w:r>
          </w:p>
        </w:tc>
      </w:tr>
      <w:tr>
        <w:trPr>
          <w:trHeight w:val="578" w:hRule="atLeast"/>
        </w:trPr>
        <w:tc>
          <w:tcPr>
            <w:tcW w:w="3486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тариф для бюджетных и прочих потребителей (без НДС)</w:t>
            </w:r>
          </w:p>
        </w:tc>
        <w:tc>
          <w:tcPr>
            <w:tcW w:w="1292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Руб/Гкал</w:t>
            </w:r>
          </w:p>
        </w:tc>
        <w:tc>
          <w:tcPr>
            <w:tcW w:w="22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2948,33</w:t>
            </w:r>
          </w:p>
        </w:tc>
        <w:tc>
          <w:tcPr>
            <w:tcW w:w="2267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2948,33</w:t>
            </w:r>
          </w:p>
        </w:tc>
      </w:tr>
      <w:tr>
        <w:trPr>
          <w:trHeight w:val="475" w:hRule="atLeast"/>
        </w:trPr>
        <w:tc>
          <w:tcPr>
            <w:tcW w:w="34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Экономически обоснованный тариф (без НДС)</w:t>
            </w:r>
          </w:p>
        </w:tc>
        <w:tc>
          <w:tcPr>
            <w:tcW w:w="1292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Руб/Гкал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2948,33</w:t>
            </w:r>
          </w:p>
        </w:tc>
        <w:tc>
          <w:tcPr>
            <w:tcW w:w="2267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2948,33</w:t>
            </w:r>
          </w:p>
        </w:tc>
      </w:tr>
    </w:tbl>
    <w:p>
      <w:pPr>
        <w:sectPr>
          <w:type w:val="nextPage"/>
          <w:pgSz w:w="11906" w:h="16838"/>
          <w:pgMar w:left="1701" w:right="851" w:gutter="0" w:header="0" w:top="567" w:footer="0" w:bottom="1134"/>
          <w:pgNumType w:fmt="decimal"/>
          <w:formProt w:val="false"/>
          <w:textDirection w:val="lrTb"/>
          <w:docGrid w:type="default" w:linePitch="360" w:charSpace="0"/>
        </w:sectPr>
        <w:pStyle w:val="Normal"/>
        <w:rPr>
          <w:color w:val="auto"/>
          <w:highlight w:val="green"/>
        </w:rPr>
      </w:pPr>
      <w:r>
        <w:rPr>
          <w:color w:val="auto"/>
          <w:highlight w:val="green"/>
        </w:rPr>
      </w:r>
      <w:r>
        <w:br w:type="page"/>
      </w:r>
    </w:p>
    <w:p>
      <w:pPr>
        <w:pStyle w:val="Normal"/>
        <w:jc w:val="center"/>
        <w:rPr>
          <w:sz w:val="24"/>
          <w:szCs w:val="24"/>
        </w:rPr>
      </w:pPr>
      <w:r>
        <w:rPr>
          <w:b/>
          <w:sz w:val="24"/>
          <w:szCs w:val="24"/>
        </w:rPr>
        <w:t>Глава 2 «Существующие и перспективные балансы тепловой мощности источников тепловой энергии и тепловой нагрузки потребителей»</w:t>
      </w:r>
    </w:p>
    <w:p>
      <w:pPr>
        <w:pStyle w:val="Normal"/>
        <w:jc w:val="center"/>
        <w:rPr>
          <w:b/>
          <w:b/>
          <w:sz w:val="24"/>
          <w:szCs w:val="24"/>
        </w:rPr>
      </w:pPr>
      <w:r>
        <w:rPr>
          <w:b/>
          <w:sz w:val="24"/>
          <w:szCs w:val="24"/>
        </w:rPr>
      </w:r>
    </w:p>
    <w:p>
      <w:pPr>
        <w:pStyle w:val="Normal"/>
        <w:ind w:firstLine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2.1. Перспективный баланс тепловой мощности и тепловой нагрузки в перспективных зонах действия источников тепловой энергии</w:t>
      </w:r>
    </w:p>
    <w:p>
      <w:pPr>
        <w:pStyle w:val="Normal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both"/>
        <w:rPr>
          <w:sz w:val="24"/>
          <w:szCs w:val="24"/>
        </w:rPr>
      </w:pPr>
      <w:r>
        <w:rPr/>
        <w:drawing>
          <wp:inline distT="0" distB="0" distL="0" distR="0">
            <wp:extent cx="6248400" cy="7048500"/>
            <wp:effectExtent l="0" t="0" r="0" b="0"/>
            <wp:docPr id="12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7691" t="0" r="11627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704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Предлагается деление территории на функциональные зоны по видам использования территории.</w:t>
      </w:r>
    </w:p>
    <w:p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Функциональное градостроительное зонирование в данном проекте предполагает выделение зон функционального использования:</w:t>
      </w:r>
    </w:p>
    <w:p>
      <w:pPr>
        <w:pStyle w:val="Normal"/>
        <w:numPr>
          <w:ilvl w:val="0"/>
          <w:numId w:val="5"/>
        </w:numPr>
        <w:tabs>
          <w:tab w:val="clear" w:pos="708"/>
          <w:tab w:val="left" w:pos="851" w:leader="none"/>
        </w:tabs>
        <w:spacing w:lineRule="auto" w:line="276"/>
        <w:jc w:val="both"/>
        <w:rPr>
          <w:sz w:val="24"/>
          <w:szCs w:val="24"/>
        </w:rPr>
      </w:pPr>
      <w:r>
        <w:rPr>
          <w:sz w:val="24"/>
          <w:szCs w:val="24"/>
        </w:rPr>
        <w:t>жилая зона;</w:t>
      </w:r>
    </w:p>
    <w:p>
      <w:pPr>
        <w:pStyle w:val="Normal"/>
        <w:numPr>
          <w:ilvl w:val="0"/>
          <w:numId w:val="5"/>
        </w:numPr>
        <w:tabs>
          <w:tab w:val="clear" w:pos="708"/>
          <w:tab w:val="left" w:pos="851" w:leader="none"/>
        </w:tabs>
        <w:spacing w:lineRule="auto" w:line="276"/>
        <w:jc w:val="both"/>
        <w:rPr>
          <w:sz w:val="24"/>
          <w:szCs w:val="24"/>
        </w:rPr>
      </w:pPr>
      <w:r>
        <w:rPr>
          <w:sz w:val="24"/>
          <w:szCs w:val="24"/>
        </w:rPr>
        <w:t>общественно-деловая зона;</w:t>
      </w:r>
    </w:p>
    <w:p>
      <w:pPr>
        <w:pStyle w:val="Normal"/>
        <w:numPr>
          <w:ilvl w:val="0"/>
          <w:numId w:val="5"/>
        </w:numPr>
        <w:tabs>
          <w:tab w:val="clear" w:pos="708"/>
          <w:tab w:val="left" w:pos="851" w:leader="none"/>
        </w:tabs>
        <w:spacing w:lineRule="auto" w:line="276"/>
        <w:jc w:val="both"/>
        <w:rPr>
          <w:sz w:val="24"/>
          <w:szCs w:val="24"/>
        </w:rPr>
      </w:pPr>
      <w:r>
        <w:rPr>
          <w:sz w:val="24"/>
          <w:szCs w:val="24"/>
        </w:rPr>
        <w:t>производственная зона;</w:t>
      </w:r>
    </w:p>
    <w:p>
      <w:pPr>
        <w:pStyle w:val="Normal"/>
        <w:numPr>
          <w:ilvl w:val="0"/>
          <w:numId w:val="5"/>
        </w:numPr>
        <w:tabs>
          <w:tab w:val="clear" w:pos="708"/>
          <w:tab w:val="left" w:pos="851" w:leader="none"/>
        </w:tabs>
        <w:spacing w:lineRule="auto" w:line="276"/>
        <w:jc w:val="both"/>
        <w:rPr>
          <w:sz w:val="24"/>
          <w:szCs w:val="24"/>
        </w:rPr>
      </w:pPr>
      <w:r>
        <w:rPr>
          <w:sz w:val="24"/>
          <w:szCs w:val="24"/>
        </w:rPr>
        <w:t>зона инженерной и транспортной инфраструктур;</w:t>
      </w:r>
    </w:p>
    <w:p>
      <w:pPr>
        <w:pStyle w:val="Normal"/>
        <w:numPr>
          <w:ilvl w:val="0"/>
          <w:numId w:val="5"/>
        </w:numPr>
        <w:tabs>
          <w:tab w:val="clear" w:pos="708"/>
          <w:tab w:val="left" w:pos="851" w:leader="none"/>
        </w:tabs>
        <w:spacing w:lineRule="auto" w:line="276"/>
        <w:jc w:val="both"/>
        <w:rPr>
          <w:sz w:val="24"/>
          <w:szCs w:val="24"/>
        </w:rPr>
      </w:pPr>
      <w:r>
        <w:rPr>
          <w:sz w:val="24"/>
          <w:szCs w:val="24"/>
        </w:rPr>
        <w:t>рекреационная зона;</w:t>
      </w:r>
    </w:p>
    <w:p>
      <w:pPr>
        <w:pStyle w:val="Normal"/>
        <w:numPr>
          <w:ilvl w:val="0"/>
          <w:numId w:val="5"/>
        </w:numPr>
        <w:tabs>
          <w:tab w:val="clear" w:pos="708"/>
          <w:tab w:val="left" w:pos="851" w:leader="none"/>
        </w:tabs>
        <w:spacing w:lineRule="auto" w:line="276"/>
        <w:jc w:val="both"/>
        <w:rPr>
          <w:sz w:val="24"/>
          <w:szCs w:val="24"/>
        </w:rPr>
      </w:pPr>
      <w:r>
        <w:rPr>
          <w:sz w:val="24"/>
          <w:szCs w:val="24"/>
        </w:rPr>
        <w:t>зона сельскохозяйственного использования;</w:t>
      </w:r>
    </w:p>
    <w:p>
      <w:pPr>
        <w:pStyle w:val="Normal"/>
        <w:numPr>
          <w:ilvl w:val="0"/>
          <w:numId w:val="5"/>
        </w:numPr>
        <w:tabs>
          <w:tab w:val="clear" w:pos="708"/>
          <w:tab w:val="left" w:pos="851" w:leader="none"/>
        </w:tabs>
        <w:spacing w:lineRule="auto" w:line="276"/>
        <w:jc w:val="both"/>
        <w:rPr>
          <w:sz w:val="24"/>
          <w:szCs w:val="24"/>
        </w:rPr>
      </w:pPr>
      <w:r>
        <w:rPr>
          <w:sz w:val="24"/>
          <w:szCs w:val="24"/>
        </w:rPr>
        <w:t>зона специального назначения;</w:t>
      </w:r>
    </w:p>
    <w:p>
      <w:pPr>
        <w:pStyle w:val="Normal"/>
        <w:numPr>
          <w:ilvl w:val="0"/>
          <w:numId w:val="5"/>
        </w:numPr>
        <w:tabs>
          <w:tab w:val="clear" w:pos="708"/>
          <w:tab w:val="left" w:pos="851" w:leader="none"/>
        </w:tabs>
        <w:spacing w:lineRule="auto" w:line="276"/>
        <w:jc w:val="both"/>
        <w:rPr>
          <w:sz w:val="24"/>
          <w:szCs w:val="24"/>
        </w:rPr>
      </w:pPr>
      <w:r>
        <w:rPr>
          <w:sz w:val="24"/>
          <w:szCs w:val="24"/>
        </w:rPr>
        <w:t>прочие зоны.</w:t>
      </w:r>
    </w:p>
    <w:p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Основная часть многоквартирного жилого фонда, крупные общественные здания и коммунально-бытовые предприятия подключены к централизованной системе теплоснабжения от источника тепловой энергии Абаканская ТЭЦ. </w:t>
      </w:r>
    </w:p>
    <w:p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Новые площади Генпланом планируются под жилые зоны с перспективой строительства малоэтажных индивидуальных домов.</w:t>
      </w:r>
    </w:p>
    <w:p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границах проектируемой территории планируется разместить 3101 приусадебный земельный участок для размещения индивидуальных жилых домов, а также земельные участки для размещения малоэтажной многоквартирной жилой застройки. </w:t>
      </w:r>
    </w:p>
    <w:p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Индивидуальные жилые дома выполняются по индивидуальным проектам.</w:t>
      </w:r>
    </w:p>
    <w:p>
      <w:pPr>
        <w:pStyle w:val="Normal"/>
        <w:ind w:firstLine="708"/>
        <w:jc w:val="both"/>
        <w:rPr>
          <w:color w:val="FF0000"/>
          <w:sz w:val="24"/>
          <w:szCs w:val="24"/>
        </w:rPr>
      </w:pPr>
      <w:r>
        <w:rPr>
          <w:sz w:val="24"/>
          <w:szCs w:val="24"/>
        </w:rPr>
        <w:t>Всего численность населения на 2024 год составляет 1820 человек</w:t>
      </w:r>
      <w:r>
        <w:rPr>
          <w:color w:val="FF0000"/>
          <w:sz w:val="24"/>
          <w:szCs w:val="24"/>
        </w:rPr>
        <w:t xml:space="preserve">, </w:t>
      </w:r>
      <w:r>
        <w:rPr>
          <w:sz w:val="24"/>
          <w:szCs w:val="24"/>
        </w:rPr>
        <w:t>при коэффициенте семейности, равной 3,5.</w:t>
      </w:r>
    </w:p>
    <w:p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Всего количество проживающих к 2028 г. составит 4788 человек.</w:t>
      </w:r>
    </w:p>
    <w:p>
      <w:pPr>
        <w:pStyle w:val="Normal"/>
        <w:jc w:val="both"/>
        <w:rPr>
          <w:sz w:val="24"/>
          <w:szCs w:val="24"/>
        </w:rPr>
      </w:pPr>
      <w:r>
        <w:rPr>
          <w:sz w:val="24"/>
          <w:szCs w:val="24"/>
        </w:rPr>
        <w:t>На расчетный срок – 7494 человека.</w:t>
      </w:r>
    </w:p>
    <w:p>
      <w:pPr>
        <w:pStyle w:val="Normal"/>
        <w:jc w:val="both"/>
        <w:rPr>
          <w:sz w:val="24"/>
          <w:szCs w:val="24"/>
        </w:rPr>
      </w:pPr>
      <w:r>
        <w:rPr>
          <w:sz w:val="24"/>
          <w:szCs w:val="24"/>
        </w:rPr>
        <w:t>Плотность населения Опытненского сельского поселения составит 14 чел/га</w:t>
      </w:r>
      <w:r>
        <w:rPr>
          <w:color w:val="FF0000"/>
          <w:sz w:val="24"/>
          <w:szCs w:val="24"/>
        </w:rPr>
        <w:t>.</w:t>
      </w:r>
    </w:p>
    <w:p>
      <w:pPr>
        <w:pStyle w:val="Normal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Генеральным планом предусмотрена застройка индивидуальными жилыми домами. Застройщики индивидуального жилищного фонда используют автономные источники теплоснабжения.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Данные по перспективной нагрузке потребителей представлены в таблице 11.</w:t>
      </w:r>
    </w:p>
    <w:p>
      <w:pPr>
        <w:pStyle w:val="Normal"/>
        <w:ind w:firstLine="708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Таблица 11. Перспективная тепловая нагрузка потребителей</w:t>
      </w:r>
    </w:p>
    <w:p>
      <w:pPr>
        <w:pStyle w:val="Normal"/>
        <w:ind w:firstLine="708"/>
        <w:jc w:val="both"/>
        <w:rPr>
          <w:color w:val="auto"/>
          <w:sz w:val="22"/>
        </w:rPr>
      </w:pPr>
      <w:r>
        <w:rPr>
          <w:color w:val="auto"/>
          <w:sz w:val="22"/>
        </w:rPr>
      </w:r>
    </w:p>
    <w:tbl>
      <w:tblPr>
        <w:tblW w:w="9493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404"/>
        <w:gridCol w:w="2497"/>
        <w:gridCol w:w="1048"/>
        <w:gridCol w:w="1133"/>
        <w:gridCol w:w="1276"/>
        <w:gridCol w:w="1134"/>
      </w:tblGrid>
      <w:tr>
        <w:trPr>
          <w:trHeight w:val="570" w:hRule="atLeast"/>
        </w:trPr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2"/>
              </w:rPr>
            </w:pPr>
            <w:r>
              <w:rPr>
                <w:b/>
                <w:color w:val="auto"/>
                <w:sz w:val="22"/>
              </w:rPr>
              <w:t>Источник</w:t>
            </w:r>
          </w:p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2"/>
              </w:rPr>
            </w:pPr>
            <w:r>
              <w:rPr>
                <w:b/>
                <w:color w:val="auto"/>
                <w:sz w:val="22"/>
              </w:rPr>
              <w:t>теплоснабжения</w:t>
            </w:r>
          </w:p>
        </w:tc>
        <w:tc>
          <w:tcPr>
            <w:tcW w:w="2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2"/>
              </w:rPr>
            </w:pPr>
            <w:r>
              <w:rPr>
                <w:b/>
                <w:bCs/>
                <w:color w:val="auto"/>
                <w:sz w:val="22"/>
              </w:rPr>
              <w:t>Местонахождение</w:t>
            </w:r>
          </w:p>
        </w:tc>
        <w:tc>
          <w:tcPr>
            <w:tcW w:w="10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bCs/>
                <w:color w:val="auto"/>
                <w:sz w:val="22"/>
              </w:rPr>
            </w:pPr>
            <w:r>
              <w:rPr>
                <w:b/>
                <w:bCs/>
                <w:color w:val="auto"/>
                <w:sz w:val="22"/>
              </w:rPr>
              <w:t>Общая нагрузка</w:t>
            </w:r>
          </w:p>
        </w:tc>
        <w:tc>
          <w:tcPr>
            <w:tcW w:w="113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Cs/>
                <w:color w:val="auto"/>
                <w:sz w:val="22"/>
              </w:rPr>
            </w:pPr>
            <w:r>
              <w:rPr>
                <w:bCs/>
                <w:color w:val="auto"/>
                <w:sz w:val="22"/>
              </w:rPr>
              <w:t>Отопление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Cs/>
                <w:color w:val="auto"/>
                <w:sz w:val="22"/>
              </w:rPr>
            </w:pPr>
            <w:r>
              <w:rPr>
                <w:bCs/>
                <w:color w:val="auto"/>
                <w:sz w:val="22"/>
              </w:rPr>
              <w:t>Вентиляция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Cs/>
                <w:color w:val="auto"/>
                <w:sz w:val="22"/>
              </w:rPr>
            </w:pPr>
            <w:r>
              <w:rPr>
                <w:bCs/>
                <w:color w:val="auto"/>
                <w:sz w:val="22"/>
              </w:rPr>
              <w:t>ГВС</w:t>
            </w:r>
          </w:p>
        </w:tc>
      </w:tr>
      <w:tr>
        <w:trPr>
          <w:trHeight w:val="600" w:hRule="atLeast"/>
        </w:trPr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Абаканская ТЭЦ</w:t>
            </w:r>
          </w:p>
        </w:tc>
        <w:tc>
          <w:tcPr>
            <w:tcW w:w="24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с. Зеленое, ул. Новая, 1</w:t>
            </w:r>
          </w:p>
        </w:tc>
        <w:tc>
          <w:tcPr>
            <w:tcW w:w="104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b/>
                <w:b/>
                <w:color w:val="auto"/>
                <w:sz w:val="22"/>
              </w:rPr>
            </w:pPr>
            <w:r>
              <w:rPr>
                <w:b/>
                <w:color w:val="auto"/>
                <w:sz w:val="22"/>
              </w:rPr>
              <w:t>0,059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0,048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0</w:t>
            </w:r>
          </w:p>
        </w:tc>
        <w:tc>
          <w:tcPr>
            <w:tcW w:w="1134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jc w:val="center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>0,011</w:t>
            </w:r>
          </w:p>
        </w:tc>
      </w:tr>
    </w:tbl>
    <w:p>
      <w:pPr>
        <w:pStyle w:val="Normal"/>
        <w:jc w:val="both"/>
        <w:rPr>
          <w:b/>
          <w:b/>
          <w:color w:val="auto"/>
          <w:sz w:val="22"/>
        </w:rPr>
      </w:pPr>
      <w:r>
        <w:rPr>
          <w:b/>
          <w:color w:val="auto"/>
          <w:sz w:val="22"/>
        </w:rPr>
      </w:r>
    </w:p>
    <w:p>
      <w:pPr>
        <w:pStyle w:val="Normal"/>
        <w:jc w:val="both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2.2. Описание существующих и перспективных зон действия индивидуальных источников тепловой энергии.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На территории Опытненского сельского поселения часть индивидуального жилищного фонда оборудована автономными источниками теплоснабжения (отопительными печами), работающими на твердом топливе (уголь и дрова). 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Индивидуальное отопление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На основании данных сайтов компаний производителей оборудования, технических паспортов устройств характеристика индивидуальных теплогенерирующих установок имеет следующий вид:</w:t>
      </w:r>
    </w:p>
    <w:p>
      <w:pPr>
        <w:pStyle w:val="Normal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tbl>
      <w:tblPr>
        <w:tblW w:w="957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1" w:firstColumn="1" w:lastColumn="1" w:noHBand="0" w:val="01e0"/>
      </w:tblPr>
      <w:tblGrid>
        <w:gridCol w:w="3190"/>
        <w:gridCol w:w="3190"/>
        <w:gridCol w:w="3191"/>
      </w:tblGrid>
      <w:tr>
        <w:trPr/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Вид топлива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Средний КПД теплогенерирующих установок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Теплотворная способность топлива, Гкал/ед.</w:t>
            </w:r>
          </w:p>
        </w:tc>
      </w:tr>
      <w:tr>
        <w:trPr/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Уголь каменный, т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0,72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4,90</w:t>
            </w:r>
          </w:p>
        </w:tc>
      </w:tr>
      <w:tr>
        <w:trPr/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Дрова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0,68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2,00</w:t>
            </w:r>
          </w:p>
        </w:tc>
      </w:tr>
    </w:tbl>
    <w:p>
      <w:pPr>
        <w:pStyle w:val="Normal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Главной тенденцией не централизованного теплоснабжения населения, производства тепла индивидуальными источниками теплоснабжения является увеличение потребления дров и каменного угля. В связи с дальнейшим развитием жилого фонда поселения, указанная тенденция будет сохраняться.</w:t>
      </w:r>
    </w:p>
    <w:p>
      <w:pPr>
        <w:pStyle w:val="Normal"/>
        <w:jc w:val="both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b/>
          <w:bCs/>
          <w:color w:val="auto"/>
          <w:sz w:val="24"/>
          <w:szCs w:val="24"/>
        </w:rPr>
        <w:t>2.3.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>
      <w:pPr>
        <w:pStyle w:val="Normal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Предусмотрено централизованное теплоснабжение от Абаканской ТЭЦ, а также автономное теплоснабжение в зависимости от расположения потребителя и их теплопотребления.</w:t>
      </w:r>
    </w:p>
    <w:p>
      <w:pPr>
        <w:pStyle w:val="Normal"/>
        <w:jc w:val="both"/>
        <w:rPr>
          <w:b/>
          <w:b/>
          <w:color w:val="auto"/>
          <w:szCs w:val="26"/>
          <w:highlight w:val="red"/>
        </w:rPr>
      </w:pPr>
      <w:r>
        <w:rPr>
          <w:b/>
          <w:color w:val="auto"/>
          <w:szCs w:val="26"/>
          <w:highlight w:val="red"/>
        </w:rPr>
      </w:r>
    </w:p>
    <w:p>
      <w:pPr>
        <w:pStyle w:val="Normal"/>
        <w:rPr>
          <w:rFonts w:eastAsia="Calibri"/>
          <w:color w:val="auto"/>
          <w:sz w:val="20"/>
          <w:szCs w:val="20"/>
          <w:lang w:eastAsia="en-US"/>
        </w:rPr>
      </w:pPr>
      <w:r>
        <w:rPr>
          <w:rFonts w:eastAsia="Calibri"/>
          <w:color w:val="auto"/>
          <w:sz w:val="20"/>
          <w:szCs w:val="20"/>
          <w:lang w:eastAsia="en-US"/>
        </w:rPr>
      </w:r>
    </w:p>
    <w:p>
      <w:pPr>
        <w:pStyle w:val="Normal"/>
        <w:ind w:firstLine="708"/>
        <w:jc w:val="center"/>
        <w:rPr>
          <w:color w:val="auto"/>
        </w:rPr>
      </w:pPr>
      <w:r>
        <w:rPr>
          <w:rFonts w:eastAsia="Calibri"/>
          <w:b/>
          <w:color w:val="auto"/>
          <w:sz w:val="24"/>
          <w:szCs w:val="24"/>
          <w:lang w:eastAsia="en-US"/>
        </w:rPr>
        <w:t>Глава 3 «Предложения по новому строительству, реконструкции и техническому перевооружению источников тепловой энергии.»</w:t>
      </w:r>
    </w:p>
    <w:p>
      <w:pPr>
        <w:pStyle w:val="Normal"/>
        <w:jc w:val="center"/>
        <w:rPr>
          <w:rFonts w:eastAsia="Calibri"/>
          <w:color w:val="auto"/>
          <w:sz w:val="24"/>
          <w:szCs w:val="24"/>
          <w:lang w:eastAsia="en-US"/>
        </w:rPr>
      </w:pPr>
      <w:r>
        <w:rPr>
          <w:rFonts w:eastAsia="Calibri"/>
          <w:color w:val="auto"/>
          <w:sz w:val="24"/>
          <w:szCs w:val="24"/>
          <w:lang w:eastAsia="en-US"/>
        </w:rPr>
      </w:r>
    </w:p>
    <w:p>
      <w:pPr>
        <w:pStyle w:val="Normal"/>
        <w:jc w:val="both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3.1. Предложения по техническому перевооружению источников тепловой энергии с целью повышения эффективности работы систем теплоснабжения.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 не предусмотрены.</w:t>
      </w:r>
    </w:p>
    <w:p>
      <w:pPr>
        <w:pStyle w:val="Normal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b/>
          <w:bCs/>
          <w:color w:val="auto"/>
          <w:sz w:val="24"/>
          <w:szCs w:val="24"/>
        </w:rPr>
        <w:t>3.2. Меры по выводу из эксплуатации, консервации и демонтажу избыточных источников тепловой энергии, а также выработавших нормативный срок службы либо в случаях, когда продление срока службы технически невозможно или экономически нецелесообразно.</w:t>
      </w:r>
    </w:p>
    <w:p>
      <w:pPr>
        <w:pStyle w:val="Normal"/>
        <w:tabs>
          <w:tab w:val="clear" w:pos="708"/>
          <w:tab w:val="left" w:pos="426" w:leader="none"/>
        </w:tabs>
        <w:ind w:firstLine="709"/>
        <w:jc w:val="both"/>
        <w:rPr>
          <w:color w:val="auto"/>
        </w:rPr>
      </w:pPr>
      <w:r>
        <w:rPr>
          <w:bCs/>
          <w:color w:val="auto"/>
          <w:sz w:val="24"/>
          <w:szCs w:val="24"/>
        </w:rPr>
        <w:t xml:space="preserve"> </w:t>
      </w:r>
      <w:r>
        <w:rPr>
          <w:bCs/>
          <w:color w:val="auto"/>
          <w:sz w:val="24"/>
          <w:szCs w:val="24"/>
        </w:rPr>
        <w:t xml:space="preserve">Меры по выводу из эксплуатации, консервации и демонтажу избыточных источников тепловой энергии, а также выработавших нормативный срок службы либо в случаях, когда продление срока службы технически невозможно или экономически нецелесообразно не предусмотрены. </w:t>
      </w:r>
      <w:r>
        <w:rPr>
          <w:color w:val="auto"/>
          <w:sz w:val="24"/>
          <w:szCs w:val="24"/>
        </w:rPr>
        <w:t>С октября 2023 года котельные №1 и №2 с. Зеленое, в результате замещения и переключения потребителей к теплоснабжению от Абаканской ТЭЦ, были выведены из эксплуатации.</w:t>
      </w:r>
    </w:p>
    <w:p>
      <w:pPr>
        <w:pStyle w:val="Normal"/>
        <w:ind w:firstLine="708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b/>
          <w:bCs/>
          <w:color w:val="auto"/>
          <w:sz w:val="24"/>
          <w:szCs w:val="24"/>
        </w:rPr>
        <w:t>3.3. Меры по переоборудованию котельных в источники комбинированной выработки электрической и тепловой энергии.</w:t>
      </w:r>
    </w:p>
    <w:p>
      <w:pPr>
        <w:pStyle w:val="Normal"/>
        <w:ind w:firstLine="708"/>
        <w:jc w:val="both"/>
        <w:rPr>
          <w:color w:val="auto"/>
        </w:rPr>
      </w:pPr>
      <w:r>
        <w:rPr>
          <w:bCs/>
          <w:color w:val="auto"/>
          <w:sz w:val="24"/>
          <w:szCs w:val="24"/>
        </w:rPr>
        <w:t xml:space="preserve">Меры по переоборудованию котельных в источники комбинированной выработки электрической и тепловой энергии не предусмотрены, котельные </w:t>
      </w:r>
      <w:r>
        <w:rPr>
          <w:color w:val="auto"/>
          <w:sz w:val="24"/>
          <w:szCs w:val="24"/>
        </w:rPr>
        <w:t>выведены из эксплуатации.</w:t>
      </w:r>
    </w:p>
    <w:p>
      <w:pPr>
        <w:pStyle w:val="Normal"/>
        <w:jc w:val="both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b/>
          <w:bCs/>
          <w:color w:val="auto"/>
          <w:sz w:val="24"/>
          <w:szCs w:val="24"/>
        </w:rPr>
        <w:t>3.4.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режим.</w:t>
      </w:r>
    </w:p>
    <w:p>
      <w:pPr>
        <w:pStyle w:val="Normal"/>
        <w:ind w:firstLine="708"/>
        <w:jc w:val="both"/>
        <w:rPr>
          <w:color w:val="auto"/>
        </w:rPr>
      </w:pPr>
      <w:r>
        <w:rPr>
          <w:bCs/>
          <w:color w:val="auto"/>
          <w:sz w:val="24"/>
          <w:szCs w:val="24"/>
        </w:rPr>
        <w:t xml:space="preserve"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не предусмотрены, котельные </w:t>
      </w:r>
      <w:r>
        <w:rPr>
          <w:color w:val="auto"/>
          <w:sz w:val="24"/>
          <w:szCs w:val="24"/>
        </w:rPr>
        <w:t>выведены из эксплуатации.</w:t>
      </w:r>
    </w:p>
    <w:p>
      <w:pPr>
        <w:pStyle w:val="Normal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jc w:val="center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9"/>
        <w:jc w:val="center"/>
        <w:rPr>
          <w:color w:val="auto"/>
        </w:rPr>
      </w:pPr>
      <w:r>
        <w:rPr>
          <w:rFonts w:eastAsia="Calibri"/>
          <w:b/>
          <w:color w:val="auto"/>
          <w:sz w:val="24"/>
          <w:szCs w:val="24"/>
          <w:lang w:eastAsia="en-US"/>
        </w:rPr>
        <w:t>Глава 4 «</w:t>
      </w:r>
      <w:r>
        <w:rPr>
          <w:b/>
          <w:color w:val="auto"/>
          <w:sz w:val="24"/>
          <w:szCs w:val="24"/>
        </w:rPr>
        <w:t>Предложения по новому строительству и реконструкции тепловых сетей»</w:t>
      </w:r>
    </w:p>
    <w:p>
      <w:pPr>
        <w:pStyle w:val="Normal"/>
        <w:ind w:firstLine="709"/>
        <w:jc w:val="center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4.1. 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 не предусмотрены.</w:t>
      </w:r>
    </w:p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4.2. Предложения по новому строительству и реконструкции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Предложения по новому строительству и реконструкции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предусмотрены.</w:t>
      </w:r>
    </w:p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4.3. Предложения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 по основаниям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Предложения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 по основаниям</w:t>
      </w:r>
      <w:r>
        <w:rPr>
          <w:bCs/>
          <w:color w:val="auto"/>
          <w:sz w:val="24"/>
          <w:szCs w:val="24"/>
        </w:rPr>
        <w:t xml:space="preserve"> не предусмотрены, котельные </w:t>
      </w:r>
      <w:r>
        <w:rPr>
          <w:color w:val="auto"/>
          <w:sz w:val="24"/>
          <w:szCs w:val="24"/>
        </w:rPr>
        <w:t>выведены из эксплуатации.</w:t>
      </w:r>
    </w:p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4.4. Предложения по новому строительству и реконструкции тепловых сетей для обеспечения нормативной надежности безопасности теплоснабжения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Предложения по новому строительству и реконструкции тепловых сетей для обеспечения нормативной надежности безопасности теплоснабжения не предусмотрены. </w:t>
      </w:r>
    </w:p>
    <w:p>
      <w:pPr>
        <w:pStyle w:val="Normal"/>
        <w:jc w:val="both"/>
        <w:rPr>
          <w:color w:val="auto"/>
        </w:rPr>
      </w:pPr>
      <w:r>
        <w:rPr>
          <w:color w:val="auto"/>
          <w:sz w:val="24"/>
          <w:szCs w:val="24"/>
        </w:rPr>
        <w:t>Мероприятия по строительству магистральной тепловой сети для переключения потребителей с. Зеленое на Абаканскую ТЭЦ выполнены в 2023 году.</w:t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С целью обеспечения</w:t>
      </w:r>
      <w:r>
        <w:rPr>
          <w:b/>
          <w:color w:val="auto"/>
          <w:sz w:val="24"/>
          <w:szCs w:val="24"/>
        </w:rPr>
        <w:t xml:space="preserve"> </w:t>
      </w:r>
      <w:r>
        <w:rPr>
          <w:color w:val="auto"/>
          <w:sz w:val="24"/>
          <w:szCs w:val="24"/>
        </w:rPr>
        <w:t xml:space="preserve">нормативной надежности безопасности теплоснабжения предусмотрены мероприятия по замене тепловых сетей, исчерпавших эксплуатационный ресурс, в соответствии с утвержденной ремонтной программой. </w:t>
      </w:r>
    </w:p>
    <w:p>
      <w:pPr>
        <w:pStyle w:val="Normal"/>
        <w:jc w:val="both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  <w:r>
        <w:br w:type="page"/>
      </w:r>
    </w:p>
    <w:p>
      <w:pPr>
        <w:pStyle w:val="Normal"/>
        <w:jc w:val="center"/>
        <w:rPr>
          <w:color w:val="auto"/>
        </w:rPr>
      </w:pPr>
      <w:r>
        <w:rPr>
          <w:b/>
          <w:color w:val="auto"/>
          <w:sz w:val="24"/>
          <w:szCs w:val="24"/>
        </w:rPr>
        <w:t>Глава 5 «Решение об определении единой теплоснабжающей организации»</w:t>
      </w:r>
    </w:p>
    <w:p>
      <w:pPr>
        <w:pStyle w:val="Normal"/>
        <w:jc w:val="center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 xml:space="preserve">Критерии определения единой теплоснабжающей организации определены постановлением Правительства Российской Федерации № 808 от 08.08.2012 года «Об организации теплоснабжения в Российской Федерации и о внесении изменений в некоторые акты Правительства Российской Федерации». Статус единой теплоснабжающей организации присваивается теплоснабжающей и (или) теплосетевой организации решением органа местного самоуправления (далее – уполномоченные органы) при утверждении схемы теплоснабжения городского округа. </w:t>
      </w:r>
    </w:p>
    <w:p>
      <w:pPr>
        <w:pStyle w:val="Normal"/>
        <w:ind w:firstLine="709"/>
        <w:jc w:val="both"/>
        <w:rPr>
          <w:color w:val="auto"/>
        </w:rPr>
      </w:pPr>
      <w:r>
        <w:rPr>
          <w:color w:val="auto"/>
          <w:sz w:val="24"/>
          <w:szCs w:val="24"/>
        </w:rPr>
        <w:t>В границах населенного пункта с. Зеленое Усть-Абаканского района статус единой теплоснабжающей организации присвоен АО «Абаканская ТЭЦ».</w:t>
      </w:r>
    </w:p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jc w:val="both"/>
        <w:rPr>
          <w:color w:val="auto"/>
        </w:rPr>
      </w:pPr>
      <w:r>
        <w:rPr>
          <w:b/>
          <w:color w:val="auto"/>
          <w:sz w:val="24"/>
          <w:szCs w:val="24"/>
        </w:rPr>
        <w:t>Таблица 12 – Реестр единых теплоснабжающих организаций</w:t>
      </w:r>
    </w:p>
    <w:tbl>
      <w:tblPr>
        <w:tblStyle w:val="afc"/>
        <w:tblW w:w="9639" w:type="dxa"/>
        <w:jc w:val="left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57"/>
        <w:gridCol w:w="1842"/>
        <w:gridCol w:w="2694"/>
        <w:gridCol w:w="1703"/>
        <w:gridCol w:w="1843"/>
      </w:tblGrid>
      <w:tr>
        <w:trPr/>
        <w:tc>
          <w:tcPr>
            <w:tcW w:w="1557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Источник тепловой энергии (мощности)</w:t>
            </w:r>
          </w:p>
        </w:tc>
        <w:tc>
          <w:tcPr>
            <w:tcW w:w="1842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Теплоснабжающая организация</w:t>
            </w:r>
          </w:p>
        </w:tc>
        <w:tc>
          <w:tcPr>
            <w:tcW w:w="2694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Единая теплоснабжающая организация, утвержденная в зоне</w:t>
            </w:r>
          </w:p>
        </w:tc>
        <w:tc>
          <w:tcPr>
            <w:tcW w:w="1703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Зона деятельности систем централизованного теплоснабжения</w:t>
            </w:r>
          </w:p>
        </w:tc>
        <w:tc>
          <w:tcPr>
            <w:tcW w:w="1843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Основание</w:t>
            </w:r>
          </w:p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1557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Абаканская ТЭЦ</w:t>
            </w:r>
          </w:p>
        </w:tc>
        <w:tc>
          <w:tcPr>
            <w:tcW w:w="1842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АО «Абаканская ТЭЦ»</w:t>
            </w:r>
          </w:p>
        </w:tc>
        <w:tc>
          <w:tcPr>
            <w:tcW w:w="2694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АО «Абаканская ТЭЦ»</w:t>
            </w:r>
          </w:p>
        </w:tc>
        <w:tc>
          <w:tcPr>
            <w:tcW w:w="1703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В границах</w:t>
            </w:r>
          </w:p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с. Зеленое Усть-Абаканского района Республики Хакасия</w:t>
            </w:r>
          </w:p>
        </w:tc>
        <w:tc>
          <w:tcPr>
            <w:tcW w:w="1843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Постановление Администрации Усть-Абаканского района №1118-п от 19.10.2022 г.</w:t>
            </w:r>
          </w:p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color w:val="auto"/>
                <w:sz w:val="20"/>
                <w:szCs w:val="20"/>
              </w:rPr>
            </w:pPr>
            <w:r>
              <w:rPr>
                <w:rFonts w:cs="Times New Roman"/>
                <w:color w:val="auto"/>
                <w:kern w:val="0"/>
                <w:sz w:val="20"/>
                <w:szCs w:val="20"/>
                <w:lang w:val="ru-RU" w:eastAsia="ru-RU" w:bidi="ar-SA"/>
              </w:rPr>
              <w:t>Вступает в силу в момент официального опубликования и распространяет свое действие на отношения, возникшие с 16 сентября 2022 года</w:t>
            </w:r>
          </w:p>
        </w:tc>
      </w:tr>
    </w:tbl>
    <w:p>
      <w:pPr>
        <w:pStyle w:val="Normal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</w:r>
    </w:p>
    <w:p>
      <w:pPr>
        <w:pStyle w:val="Normal"/>
        <w:jc w:val="center"/>
        <w:rPr>
          <w:b/>
          <w:b/>
          <w:color w:val="auto"/>
          <w:sz w:val="24"/>
          <w:szCs w:val="24"/>
          <w:highlight w:val="green"/>
        </w:rPr>
      </w:pPr>
      <w:r>
        <w:rPr>
          <w:b/>
          <w:color w:val="auto"/>
          <w:sz w:val="24"/>
          <w:szCs w:val="24"/>
          <w:highlight w:val="green"/>
        </w:rPr>
      </w:r>
    </w:p>
    <w:p>
      <w:pPr>
        <w:pStyle w:val="Normal"/>
        <w:jc w:val="center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8"/>
        <w:rPr>
          <w:color w:val="auto"/>
        </w:rPr>
      </w:pPr>
      <w:r>
        <w:rPr>
          <w:b/>
          <w:color w:val="auto"/>
          <w:sz w:val="24"/>
          <w:szCs w:val="24"/>
        </w:rPr>
        <w:t>Глава 6. Перечень бесхозяйных тепловых сетей и определение организации, уполномоченной на их эксплуатацию</w:t>
      </w:r>
    </w:p>
    <w:p>
      <w:pPr>
        <w:pStyle w:val="Normal"/>
        <w:jc w:val="center"/>
        <w:rPr>
          <w:b/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</w:r>
    </w:p>
    <w:p>
      <w:pPr>
        <w:pStyle w:val="Normal"/>
        <w:ind w:firstLine="708"/>
        <w:jc w:val="both"/>
        <w:rPr>
          <w:color w:val="auto"/>
        </w:rPr>
      </w:pPr>
      <w:r>
        <w:rPr>
          <w:color w:val="auto"/>
          <w:sz w:val="24"/>
          <w:szCs w:val="24"/>
        </w:rPr>
        <w:t>По состоянию на 01.01.2024 г. бесхозяйные тепловые сети не выявлены.</w:t>
      </w:r>
    </w:p>
    <w:p>
      <w:pPr>
        <w:pStyle w:val="Normal"/>
        <w:rPr>
          <w:color w:val="auto"/>
        </w:rPr>
      </w:pPr>
      <w:r>
        <w:rPr/>
      </w:r>
    </w:p>
    <w:sectPr>
      <w:type w:val="nextPage"/>
      <w:pgSz w:w="11906" w:h="16838"/>
      <w:pgMar w:left="1701" w:right="850" w:gutter="0" w:header="0" w:top="1134" w:footer="0" w:bottom="1134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imes New Roman">
    <w:charset w:val="cc"/>
    <w:family w:val="roman"/>
    <w:pitch w:val="variable"/>
  </w:font>
  <w:font w:name="Cambria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Arial">
    <w:charset w:val="cc"/>
    <w:family w:val="roman"/>
    <w:pitch w:val="variable"/>
  </w:font>
  <w:font w:name="Courier New">
    <w:charset w:val="cc"/>
    <w:family w:val="roman"/>
    <w:pitch w:val="variable"/>
  </w:font>
  <w:font w:name="Arial CYR">
    <w:charset w:val="cc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3"/>
      <w:pStyle w:val="1"/>
      <w:numFmt w:val="decimal"/>
      <w:lvlText w:val="%1"/>
      <w:lvlJc w:val="left"/>
      <w:pPr>
        <w:tabs>
          <w:tab w:val="num" w:pos="0"/>
        </w:tabs>
        <w:ind w:left="432" w:hanging="432"/>
      </w:pPr>
    </w:lvl>
    <w:lvl w:ilvl="1">
      <w:start w:val="1"/>
      <w:pStyle w:val="2"/>
      <w:numFmt w:val="decimal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pStyle w:val="3"/>
      <w:numFmt w:val="decimal"/>
      <w:lvlText w:val="%1.%2.%3"/>
      <w:lvlJc w:val="left"/>
      <w:pPr>
        <w:tabs>
          <w:tab w:val="num" w:pos="0"/>
        </w:tabs>
        <w:ind w:left="1430" w:hanging="720"/>
      </w:pPr>
    </w:lvl>
    <w:lvl w:ilvl="3">
      <w:start w:val="1"/>
      <w:pStyle w:val="4"/>
      <w:numFmt w:val="decimal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pStyle w:val="5"/>
      <w:numFmt w:val="decimal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pStyle w:val="6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pStyle w:val="7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pStyle w:val="8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pStyle w:val="9"/>
      <w:numFmt w:val="decimal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2">
    <w:lvl w:ilvl="0">
      <w:start w:val="1"/>
      <w:numFmt w:val="bullet"/>
      <w:lvlText w:val="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lvl w:ilvl="0">
      <w:start w:val="1"/>
      <w:numFmt w:val="bullet"/>
      <w:lvlText w:val="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6">
    <w:lvl w:ilvl="0">
      <w:start w:val="1"/>
      <w:numFmt w:val="bullet"/>
      <w:lvlText w:val="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7">
    <w:lvl w:ilvl="0">
      <w:start w:val="1"/>
      <w:numFmt w:val="bullet"/>
      <w:lvlText w:val="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</w:compat>
  <w:hyphenationZone w:val="357"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Times New Roman"/>
        <w:sz w:val="22"/>
        <w:szCs w:val="22"/>
        <w:lang w:val="ru-RU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semiHidden="1" w:unhideWhenUsed="1" w:qFormat="1"/>
    <w:lsdException w:name="heading 3" w:locked="1" w:uiPriority="0" w:semiHidden="1" w:unhideWhenUsed="1" w:qFormat="1"/>
    <w:lsdException w:name="heading 4" w:locked="1" w:uiPriority="0" w:semiHidden="1" w:unhideWhenUsed="1" w:qFormat="1"/>
    <w:lsdException w:name="heading 5" w:locked="1" w:uiPriority="0" w:semiHidden="1" w:unhideWhenUsed="1" w:qFormat="1"/>
    <w:lsdException w:name="heading 6" w:locked="1" w:uiPriority="0" w:semiHidden="1" w:unhideWhenUsed="1" w:qFormat="1"/>
    <w:lsdException w:name="heading 7" w:locked="1" w:uiPriority="0" w:semiHidden="1" w:unhideWhenUsed="1" w:qFormat="1"/>
    <w:lsdException w:name="heading 8" w:locked="1" w:uiPriority="0" w:semiHidden="1" w:unhideWhenUsed="1" w:qFormat="1"/>
    <w:lsdException w:name="heading 9" w:locked="1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627c22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6"/>
      <w:szCs w:val="22"/>
      <w:lang w:val="ru-RU" w:eastAsia="ru-RU" w:bidi="ar-SA"/>
    </w:rPr>
  </w:style>
  <w:style w:type="paragraph" w:styleId="1">
    <w:name w:val="Heading 1"/>
    <w:basedOn w:val="Normal"/>
    <w:next w:val="Normal"/>
    <w:link w:val="11"/>
    <w:qFormat/>
    <w:locked/>
    <w:rsid w:val="00317720"/>
    <w:pPr>
      <w:keepLines/>
      <w:numPr>
        <w:ilvl w:val="0"/>
        <w:numId w:val="1"/>
      </w:numPr>
      <w:suppressAutoHyphens w:val="false"/>
      <w:spacing w:lineRule="auto" w:line="480" w:before="240" w:after="0"/>
      <w:jc w:val="both"/>
      <w:outlineLvl w:val="0"/>
    </w:pPr>
    <w:rPr>
      <w:rFonts w:eastAsia="" w:cs="" w:cstheme="majorBidi" w:eastAsiaTheme="majorEastAsia"/>
      <w:b/>
      <w:sz w:val="28"/>
      <w:szCs w:val="32"/>
    </w:rPr>
  </w:style>
  <w:style w:type="paragraph" w:styleId="2">
    <w:name w:val="Heading 2"/>
    <w:basedOn w:val="Normal"/>
    <w:next w:val="Normal"/>
    <w:link w:val="20"/>
    <w:unhideWhenUsed/>
    <w:qFormat/>
    <w:locked/>
    <w:rsid w:val="00317720"/>
    <w:pPr>
      <w:keepLines/>
      <w:numPr>
        <w:ilvl w:val="1"/>
        <w:numId w:val="1"/>
      </w:numPr>
      <w:suppressAutoHyphens w:val="false"/>
      <w:spacing w:lineRule="auto" w:line="360" w:before="40" w:after="0"/>
      <w:jc w:val="both"/>
      <w:outlineLvl w:val="1"/>
    </w:pPr>
    <w:rPr>
      <w:rFonts w:eastAsia="" w:cs="" w:cstheme="majorBidi" w:eastAsiaTheme="majorEastAsia"/>
      <w:b/>
      <w:color w:val="000000" w:themeColor="text1"/>
      <w:sz w:val="28"/>
      <w:szCs w:val="26"/>
    </w:rPr>
  </w:style>
  <w:style w:type="paragraph" w:styleId="3">
    <w:name w:val="Heading 3"/>
    <w:basedOn w:val="Normal"/>
    <w:next w:val="Normal"/>
    <w:link w:val="30"/>
    <w:unhideWhenUsed/>
    <w:qFormat/>
    <w:locked/>
    <w:rsid w:val="00317720"/>
    <w:pPr>
      <w:keepLines/>
      <w:numPr>
        <w:ilvl w:val="2"/>
        <w:numId w:val="1"/>
      </w:numPr>
      <w:suppressAutoHyphens w:val="false"/>
      <w:spacing w:lineRule="auto" w:line="360" w:before="40" w:after="0"/>
      <w:jc w:val="both"/>
      <w:outlineLvl w:val="2"/>
    </w:pPr>
    <w:rPr>
      <w:rFonts w:eastAsia="" w:cs="" w:cstheme="majorBidi" w:eastAsiaTheme="majorEastAsia"/>
      <w:b/>
      <w:sz w:val="28"/>
      <w:szCs w:val="24"/>
    </w:rPr>
  </w:style>
  <w:style w:type="paragraph" w:styleId="4">
    <w:name w:val="Heading 4"/>
    <w:basedOn w:val="Normal"/>
    <w:next w:val="Normal"/>
    <w:link w:val="40"/>
    <w:unhideWhenUsed/>
    <w:qFormat/>
    <w:locked/>
    <w:rsid w:val="00317720"/>
    <w:pPr>
      <w:keepNext w:val="true"/>
      <w:keepLines/>
      <w:numPr>
        <w:ilvl w:val="3"/>
        <w:numId w:val="1"/>
      </w:numPr>
      <w:suppressAutoHyphens w:val="false"/>
      <w:spacing w:lineRule="auto" w:line="360" w:before="40" w:after="0"/>
      <w:jc w:val="both"/>
      <w:outlineLvl w:val="3"/>
    </w:pPr>
    <w:rPr>
      <w:rFonts w:ascii="Cambria" w:hAnsi="Cambria" w:eastAsia="" w:cs="" w:asciiTheme="majorHAnsi" w:cstheme="majorBidi" w:eastAsiaTheme="majorEastAsia" w:hAnsiTheme="majorHAnsi"/>
      <w:i/>
      <w:iCs/>
      <w:color w:val="365F91" w:themeColor="accent1" w:themeShade="bf"/>
      <w:sz w:val="28"/>
    </w:rPr>
  </w:style>
  <w:style w:type="paragraph" w:styleId="5">
    <w:name w:val="Heading 5"/>
    <w:basedOn w:val="Normal"/>
    <w:next w:val="Normal"/>
    <w:link w:val="50"/>
    <w:unhideWhenUsed/>
    <w:qFormat/>
    <w:locked/>
    <w:rsid w:val="00317720"/>
    <w:pPr>
      <w:keepNext w:val="true"/>
      <w:keepLines/>
      <w:numPr>
        <w:ilvl w:val="4"/>
        <w:numId w:val="1"/>
      </w:numPr>
      <w:suppressAutoHyphens w:val="false"/>
      <w:spacing w:lineRule="auto" w:line="360" w:before="40" w:after="0"/>
      <w:jc w:val="both"/>
      <w:outlineLvl w:val="4"/>
    </w:pPr>
    <w:rPr>
      <w:rFonts w:ascii="Cambria" w:hAnsi="Cambria" w:eastAsia="" w:cs="" w:asciiTheme="majorHAnsi" w:cstheme="majorBidi" w:eastAsiaTheme="majorEastAsia" w:hAnsiTheme="majorHAnsi"/>
      <w:color w:val="365F91" w:themeColor="accent1" w:themeShade="bf"/>
      <w:sz w:val="28"/>
    </w:rPr>
  </w:style>
  <w:style w:type="paragraph" w:styleId="6">
    <w:name w:val="Heading 6"/>
    <w:basedOn w:val="Normal"/>
    <w:next w:val="Normal"/>
    <w:link w:val="60"/>
    <w:unhideWhenUsed/>
    <w:qFormat/>
    <w:locked/>
    <w:rsid w:val="00317720"/>
    <w:pPr>
      <w:keepNext w:val="true"/>
      <w:keepLines/>
      <w:numPr>
        <w:ilvl w:val="5"/>
        <w:numId w:val="1"/>
      </w:numPr>
      <w:suppressAutoHyphens w:val="false"/>
      <w:spacing w:lineRule="auto" w:line="360" w:before="40" w:after="0"/>
      <w:jc w:val="both"/>
      <w:outlineLvl w:val="5"/>
    </w:pPr>
    <w:rPr>
      <w:rFonts w:ascii="Cambria" w:hAnsi="Cambria" w:eastAsia="" w:cs="" w:asciiTheme="majorHAnsi" w:cstheme="majorBidi" w:eastAsiaTheme="majorEastAsia" w:hAnsiTheme="majorHAnsi"/>
      <w:color w:val="243F60" w:themeColor="accent1" w:themeShade="7f"/>
      <w:sz w:val="28"/>
    </w:rPr>
  </w:style>
  <w:style w:type="paragraph" w:styleId="7">
    <w:name w:val="Heading 7"/>
    <w:basedOn w:val="Normal"/>
    <w:next w:val="Normal"/>
    <w:link w:val="70"/>
    <w:unhideWhenUsed/>
    <w:qFormat/>
    <w:locked/>
    <w:rsid w:val="00317720"/>
    <w:pPr>
      <w:keepNext w:val="true"/>
      <w:keepLines/>
      <w:numPr>
        <w:ilvl w:val="6"/>
        <w:numId w:val="1"/>
      </w:numPr>
      <w:suppressAutoHyphens w:val="false"/>
      <w:spacing w:lineRule="auto" w:line="360" w:before="40" w:after="0"/>
      <w:jc w:val="both"/>
      <w:outlineLvl w:val="6"/>
    </w:pPr>
    <w:rPr>
      <w:rFonts w:ascii="Cambria" w:hAnsi="Cambria" w:eastAsia="" w:cs="" w:asciiTheme="majorHAnsi" w:cstheme="majorBidi" w:eastAsiaTheme="majorEastAsia" w:hAnsiTheme="majorHAnsi"/>
      <w:i/>
      <w:iCs/>
      <w:color w:val="243F60" w:themeColor="accent1" w:themeShade="7f"/>
      <w:sz w:val="28"/>
    </w:rPr>
  </w:style>
  <w:style w:type="paragraph" w:styleId="8">
    <w:name w:val="Heading 8"/>
    <w:basedOn w:val="Normal"/>
    <w:next w:val="Normal"/>
    <w:link w:val="80"/>
    <w:unhideWhenUsed/>
    <w:qFormat/>
    <w:locked/>
    <w:rsid w:val="00317720"/>
    <w:pPr>
      <w:keepNext w:val="true"/>
      <w:keepLines/>
      <w:numPr>
        <w:ilvl w:val="7"/>
        <w:numId w:val="1"/>
      </w:numPr>
      <w:suppressAutoHyphens w:val="false"/>
      <w:spacing w:lineRule="auto" w:line="360" w:before="40" w:after="0"/>
      <w:jc w:val="both"/>
      <w:outlineLvl w:val="7"/>
    </w:pPr>
    <w:rPr>
      <w:rFonts w:ascii="Cambria" w:hAnsi="Cambria" w:eastAsia="" w:cs="" w:asciiTheme="majorHAnsi" w:cstheme="majorBidi" w:eastAsiaTheme="majorEastAsia" w:hAnsiTheme="majorHAnsi"/>
      <w:color w:val="272727" w:themeColor="text1" w:themeTint="d8"/>
      <w:sz w:val="21"/>
      <w:szCs w:val="21"/>
    </w:rPr>
  </w:style>
  <w:style w:type="paragraph" w:styleId="9">
    <w:name w:val="Heading 9"/>
    <w:basedOn w:val="Normal"/>
    <w:next w:val="Normal"/>
    <w:link w:val="90"/>
    <w:unhideWhenUsed/>
    <w:qFormat/>
    <w:locked/>
    <w:rsid w:val="00317720"/>
    <w:pPr>
      <w:keepNext w:val="true"/>
      <w:keepLines/>
      <w:numPr>
        <w:ilvl w:val="8"/>
        <w:numId w:val="1"/>
      </w:numPr>
      <w:suppressAutoHyphens w:val="false"/>
      <w:spacing w:lineRule="auto" w:line="360" w:before="40" w:after="0"/>
      <w:jc w:val="both"/>
      <w:outlineLvl w:val="8"/>
    </w:pPr>
    <w:rPr>
      <w:rFonts w:ascii="Cambria" w:hAnsi="Cambria" w:eastAsia="" w:cs="" w:asciiTheme="majorHAnsi" w:cstheme="majorBidi" w:eastAsiaTheme="majorEastAsia" w:hAnsiTheme="majorHAnsi"/>
      <w:i/>
      <w:iCs/>
      <w:color w:val="272727" w:themeColor="text1" w:themeTint="d8"/>
      <w:sz w:val="21"/>
      <w:szCs w:val="21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5" w:customStyle="1">
    <w:name w:val="Текст выноски Знак"/>
    <w:basedOn w:val="DefaultParagraphFont"/>
    <w:uiPriority w:val="99"/>
    <w:semiHidden/>
    <w:qFormat/>
    <w:locked/>
    <w:rsid w:val="00627c22"/>
    <w:rPr>
      <w:rFonts w:ascii="Tahoma" w:hAnsi="Tahoma" w:cs="Tahoma"/>
      <w:sz w:val="16"/>
      <w:szCs w:val="16"/>
      <w:lang w:eastAsia="ru-RU"/>
    </w:rPr>
  </w:style>
  <w:style w:type="character" w:styleId="Strong">
    <w:name w:val="Strong"/>
    <w:basedOn w:val="DefaultParagraphFont"/>
    <w:qFormat/>
    <w:locked/>
    <w:rsid w:val="00b45f1d"/>
    <w:rPr>
      <w:b/>
      <w:bCs/>
    </w:rPr>
  </w:style>
  <w:style w:type="character" w:styleId="Style6" w:customStyle="1">
    <w:name w:val="Символ нумерации"/>
    <w:qFormat/>
    <w:rsid w:val="00731704"/>
    <w:rPr/>
  </w:style>
  <w:style w:type="character" w:styleId="WW8Num5z0" w:customStyle="1">
    <w:name w:val="WW8Num5z0"/>
    <w:qFormat/>
    <w:rPr/>
  </w:style>
  <w:style w:type="character" w:styleId="WW8Num5z1" w:customStyle="1">
    <w:name w:val="WW8Num5z1"/>
    <w:qFormat/>
    <w:rPr>
      <w:rFonts w:cs="Times New Roman"/>
      <w:b/>
      <w:bCs/>
    </w:rPr>
  </w:style>
  <w:style w:type="character" w:styleId="WW8Num5z2" w:customStyle="1">
    <w:name w:val="WW8Num5z2"/>
    <w:qFormat/>
    <w:rPr/>
  </w:style>
  <w:style w:type="character" w:styleId="WW8Num5z3" w:customStyle="1">
    <w:name w:val="WW8Num5z3"/>
    <w:qFormat/>
    <w:rPr/>
  </w:style>
  <w:style w:type="character" w:styleId="WW8Num5z4" w:customStyle="1">
    <w:name w:val="WW8Num5z4"/>
    <w:qFormat/>
    <w:rPr/>
  </w:style>
  <w:style w:type="character" w:styleId="WW8Num5z5" w:customStyle="1">
    <w:name w:val="WW8Num5z5"/>
    <w:qFormat/>
    <w:rPr/>
  </w:style>
  <w:style w:type="character" w:styleId="WW8Num5z6" w:customStyle="1">
    <w:name w:val="WW8Num5z6"/>
    <w:qFormat/>
    <w:rPr/>
  </w:style>
  <w:style w:type="character" w:styleId="WW8Num5z7" w:customStyle="1">
    <w:name w:val="WW8Num5z7"/>
    <w:qFormat/>
    <w:rPr/>
  </w:style>
  <w:style w:type="character" w:styleId="WW8Num5z8" w:customStyle="1">
    <w:name w:val="WW8Num5z8"/>
    <w:qFormat/>
    <w:rPr/>
  </w:style>
  <w:style w:type="character" w:styleId="Style7">
    <w:name w:val="Интернет-ссылка"/>
    <w:basedOn w:val="DefaultParagraphFont"/>
    <w:uiPriority w:val="99"/>
    <w:semiHidden/>
    <w:unhideWhenUsed/>
    <w:rsid w:val="00bb4295"/>
    <w:rPr>
      <w:color w:val="0000FF"/>
      <w:u w:val="single"/>
    </w:rPr>
  </w:style>
  <w:style w:type="character" w:styleId="WW8Num2z0" w:customStyle="1">
    <w:name w:val="WW8Num2z0"/>
    <w:qFormat/>
    <w:rPr/>
  </w:style>
  <w:style w:type="character" w:styleId="WW8Num2z1" w:customStyle="1">
    <w:name w:val="WW8Num2z1"/>
    <w:qFormat/>
    <w:rPr>
      <w:rFonts w:cs="Times New Roman"/>
      <w:b/>
      <w:bCs/>
    </w:rPr>
  </w:style>
  <w:style w:type="character" w:styleId="WW8Num2z2" w:customStyle="1">
    <w:name w:val="WW8Num2z2"/>
    <w:qFormat/>
    <w:rPr/>
  </w:style>
  <w:style w:type="character" w:styleId="WW8Num2z3" w:customStyle="1">
    <w:name w:val="WW8Num2z3"/>
    <w:qFormat/>
    <w:rPr/>
  </w:style>
  <w:style w:type="character" w:styleId="WW8Num2z4" w:customStyle="1">
    <w:name w:val="WW8Num2z4"/>
    <w:qFormat/>
    <w:rPr/>
  </w:style>
  <w:style w:type="character" w:styleId="WW8Num2z5" w:customStyle="1">
    <w:name w:val="WW8Num2z5"/>
    <w:qFormat/>
    <w:rPr/>
  </w:style>
  <w:style w:type="character" w:styleId="WW8Num2z6" w:customStyle="1">
    <w:name w:val="WW8Num2z6"/>
    <w:qFormat/>
    <w:rPr/>
  </w:style>
  <w:style w:type="character" w:styleId="WW8Num2z7" w:customStyle="1">
    <w:name w:val="WW8Num2z7"/>
    <w:qFormat/>
    <w:rPr/>
  </w:style>
  <w:style w:type="character" w:styleId="WW8Num2z8" w:customStyle="1">
    <w:name w:val="WW8Num2z8"/>
    <w:qFormat/>
    <w:rPr/>
  </w:style>
  <w:style w:type="character" w:styleId="WW8Num3z0" w:customStyle="1">
    <w:name w:val="WW8Num3z0"/>
    <w:qFormat/>
    <w:rPr/>
  </w:style>
  <w:style w:type="character" w:styleId="WW8Num3z1" w:customStyle="1">
    <w:name w:val="WW8Num3z1"/>
    <w:qFormat/>
    <w:rPr/>
  </w:style>
  <w:style w:type="character" w:styleId="WW8Num3z2" w:customStyle="1">
    <w:name w:val="WW8Num3z2"/>
    <w:qFormat/>
    <w:rPr/>
  </w:style>
  <w:style w:type="character" w:styleId="WW8Num3z3" w:customStyle="1">
    <w:name w:val="WW8Num3z3"/>
    <w:qFormat/>
    <w:rPr/>
  </w:style>
  <w:style w:type="character" w:styleId="WW8Num3z4" w:customStyle="1">
    <w:name w:val="WW8Num3z4"/>
    <w:qFormat/>
    <w:rPr/>
  </w:style>
  <w:style w:type="character" w:styleId="WW8Num3z5" w:customStyle="1">
    <w:name w:val="WW8Num3z5"/>
    <w:qFormat/>
    <w:rPr/>
  </w:style>
  <w:style w:type="character" w:styleId="WW8Num3z6" w:customStyle="1">
    <w:name w:val="WW8Num3z6"/>
    <w:qFormat/>
    <w:rPr/>
  </w:style>
  <w:style w:type="character" w:styleId="WW8Num3z7" w:customStyle="1">
    <w:name w:val="WW8Num3z7"/>
    <w:qFormat/>
    <w:rPr/>
  </w:style>
  <w:style w:type="character" w:styleId="WW8Num3z8" w:customStyle="1">
    <w:name w:val="WW8Num3z8"/>
    <w:qFormat/>
    <w:rPr/>
  </w:style>
  <w:style w:type="character" w:styleId="WW8Num4z0" w:customStyle="1">
    <w:name w:val="WW8Num4z0"/>
    <w:qFormat/>
    <w:rPr/>
  </w:style>
  <w:style w:type="character" w:styleId="WW8Num4z1" w:customStyle="1">
    <w:name w:val="WW8Num4z1"/>
    <w:qFormat/>
    <w:rPr/>
  </w:style>
  <w:style w:type="character" w:styleId="WW8Num4z2" w:customStyle="1">
    <w:name w:val="WW8Num4z2"/>
    <w:qFormat/>
    <w:rPr/>
  </w:style>
  <w:style w:type="character" w:styleId="WW8Num4z3" w:customStyle="1">
    <w:name w:val="WW8Num4z3"/>
    <w:qFormat/>
    <w:rPr/>
  </w:style>
  <w:style w:type="character" w:styleId="WW8Num4z4" w:customStyle="1">
    <w:name w:val="WW8Num4z4"/>
    <w:qFormat/>
    <w:rPr/>
  </w:style>
  <w:style w:type="character" w:styleId="WW8Num4z5" w:customStyle="1">
    <w:name w:val="WW8Num4z5"/>
    <w:qFormat/>
    <w:rPr/>
  </w:style>
  <w:style w:type="character" w:styleId="WW8Num4z6" w:customStyle="1">
    <w:name w:val="WW8Num4z6"/>
    <w:qFormat/>
    <w:rPr/>
  </w:style>
  <w:style w:type="character" w:styleId="WW8Num4z7" w:customStyle="1">
    <w:name w:val="WW8Num4z7"/>
    <w:qFormat/>
    <w:rPr/>
  </w:style>
  <w:style w:type="character" w:styleId="WW8Num4z8" w:customStyle="1">
    <w:name w:val="WW8Num4z8"/>
    <w:qFormat/>
    <w:rPr/>
  </w:style>
  <w:style w:type="character" w:styleId="2105pt" w:customStyle="1">
    <w:name w:val="Основной текст (2) + 10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sz w:val="21"/>
      <w:szCs w:val="21"/>
      <w:u w:val="none"/>
      <w:lang w:val="ru-RU" w:bidi="ru-RU"/>
    </w:rPr>
  </w:style>
  <w:style w:type="character" w:styleId="21" w:customStyle="1">
    <w:name w:val="Основной текст (2)_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u w:val="none"/>
    </w:rPr>
  </w:style>
  <w:style w:type="character" w:styleId="WW8Num12z8" w:customStyle="1">
    <w:name w:val="WW8Num12z8"/>
    <w:qFormat/>
    <w:rPr/>
  </w:style>
  <w:style w:type="character" w:styleId="WW8Num12z7" w:customStyle="1">
    <w:name w:val="WW8Num12z7"/>
    <w:qFormat/>
    <w:rPr/>
  </w:style>
  <w:style w:type="character" w:styleId="WW8Num12z6" w:customStyle="1">
    <w:name w:val="WW8Num12z6"/>
    <w:qFormat/>
    <w:rPr/>
  </w:style>
  <w:style w:type="character" w:styleId="WW8Num12z5" w:customStyle="1">
    <w:name w:val="WW8Num12z5"/>
    <w:qFormat/>
    <w:rPr/>
  </w:style>
  <w:style w:type="character" w:styleId="WW8Num12z4" w:customStyle="1">
    <w:name w:val="WW8Num12z4"/>
    <w:qFormat/>
    <w:rPr/>
  </w:style>
  <w:style w:type="character" w:styleId="WW8Num12z3" w:customStyle="1">
    <w:name w:val="WW8Num12z3"/>
    <w:qFormat/>
    <w:rPr/>
  </w:style>
  <w:style w:type="character" w:styleId="WW8Num12z2" w:customStyle="1">
    <w:name w:val="WW8Num12z2"/>
    <w:qFormat/>
    <w:rPr/>
  </w:style>
  <w:style w:type="character" w:styleId="WW8Num12z1" w:customStyle="1">
    <w:name w:val="WW8Num12z1"/>
    <w:qFormat/>
    <w:rPr/>
  </w:style>
  <w:style w:type="character" w:styleId="WW8Num12z0" w:customStyle="1">
    <w:name w:val="WW8Num12z0"/>
    <w:qFormat/>
    <w:rPr/>
  </w:style>
  <w:style w:type="character" w:styleId="WW8Num11z8" w:customStyle="1">
    <w:name w:val="WW8Num11z8"/>
    <w:qFormat/>
    <w:rPr/>
  </w:style>
  <w:style w:type="character" w:styleId="WW8Num11z7" w:customStyle="1">
    <w:name w:val="WW8Num11z7"/>
    <w:qFormat/>
    <w:rPr/>
  </w:style>
  <w:style w:type="character" w:styleId="WW8Num11z6" w:customStyle="1">
    <w:name w:val="WW8Num11z6"/>
    <w:qFormat/>
    <w:rPr/>
  </w:style>
  <w:style w:type="character" w:styleId="WW8Num11z5" w:customStyle="1">
    <w:name w:val="WW8Num11z5"/>
    <w:qFormat/>
    <w:rPr/>
  </w:style>
  <w:style w:type="character" w:styleId="WW8Num11z4" w:customStyle="1">
    <w:name w:val="WW8Num11z4"/>
    <w:qFormat/>
    <w:rPr/>
  </w:style>
  <w:style w:type="character" w:styleId="WW8Num11z3" w:customStyle="1">
    <w:name w:val="WW8Num11z3"/>
    <w:qFormat/>
    <w:rPr/>
  </w:style>
  <w:style w:type="character" w:styleId="WW8Num11z2" w:customStyle="1">
    <w:name w:val="WW8Num11z2"/>
    <w:qFormat/>
    <w:rPr/>
  </w:style>
  <w:style w:type="character" w:styleId="WW8Num11z1" w:customStyle="1">
    <w:name w:val="WW8Num11z1"/>
    <w:qFormat/>
    <w:rPr/>
  </w:style>
  <w:style w:type="character" w:styleId="WW8Num11z0" w:customStyle="1">
    <w:name w:val="WW8Num11z0"/>
    <w:qFormat/>
    <w:rPr/>
  </w:style>
  <w:style w:type="character" w:styleId="WW8Num10z8" w:customStyle="1">
    <w:name w:val="WW8Num10z8"/>
    <w:qFormat/>
    <w:rPr/>
  </w:style>
  <w:style w:type="character" w:styleId="WW8Num10z7" w:customStyle="1">
    <w:name w:val="WW8Num10z7"/>
    <w:qFormat/>
    <w:rPr/>
  </w:style>
  <w:style w:type="character" w:styleId="WW8Num10z6" w:customStyle="1">
    <w:name w:val="WW8Num10z6"/>
    <w:qFormat/>
    <w:rPr/>
  </w:style>
  <w:style w:type="character" w:styleId="WW8Num10z5" w:customStyle="1">
    <w:name w:val="WW8Num10z5"/>
    <w:qFormat/>
    <w:rPr/>
  </w:style>
  <w:style w:type="character" w:styleId="WW8Num10z4" w:customStyle="1">
    <w:name w:val="WW8Num10z4"/>
    <w:qFormat/>
    <w:rPr/>
  </w:style>
  <w:style w:type="character" w:styleId="WW8Num10z3" w:customStyle="1">
    <w:name w:val="WW8Num10z3"/>
    <w:qFormat/>
    <w:rPr/>
  </w:style>
  <w:style w:type="character" w:styleId="WW8Num10z2" w:customStyle="1">
    <w:name w:val="WW8Num10z2"/>
    <w:qFormat/>
    <w:rPr/>
  </w:style>
  <w:style w:type="character" w:styleId="WW8Num10z1" w:customStyle="1">
    <w:name w:val="WW8Num10z1"/>
    <w:qFormat/>
    <w:rPr/>
  </w:style>
  <w:style w:type="character" w:styleId="WW8Num10z0" w:customStyle="1">
    <w:name w:val="WW8Num10z0"/>
    <w:qFormat/>
    <w:rPr/>
  </w:style>
  <w:style w:type="character" w:styleId="11" w:customStyle="1">
    <w:name w:val="Заголовок 1 Знак"/>
    <w:qFormat/>
    <w:rPr>
      <w:rFonts w:eastAsia="Times New Roman" w:cs="Times New Roman"/>
      <w:b/>
      <w:sz w:val="20"/>
      <w:szCs w:val="20"/>
      <w:lang w:eastAsia="ru-RU"/>
    </w:rPr>
  </w:style>
  <w:style w:type="character" w:styleId="Style8">
    <w:name w:val="Посещённая гиперссылка"/>
    <w:basedOn w:val="DefaultParagraphFont"/>
    <w:uiPriority w:val="99"/>
    <w:semiHidden/>
    <w:unhideWhenUsed/>
    <w:rsid w:val="00bb4295"/>
    <w:rPr>
      <w:color w:val="800080"/>
      <w:u w:val="single"/>
    </w:rPr>
  </w:style>
  <w:style w:type="character" w:styleId="Style9" w:customStyle="1">
    <w:name w:val="Верхний колонтитул Знак"/>
    <w:basedOn w:val="DefaultParagraphFont"/>
    <w:link w:val="af3"/>
    <w:uiPriority w:val="99"/>
    <w:qFormat/>
    <w:rsid w:val="004662fa"/>
    <w:rPr>
      <w:rFonts w:ascii="Times New Roman" w:hAnsi="Times New Roman" w:eastAsia="Times New Roman"/>
      <w:sz w:val="26"/>
    </w:rPr>
  </w:style>
  <w:style w:type="character" w:styleId="Style10" w:customStyle="1">
    <w:name w:val="Нижний колонтитул Знак"/>
    <w:basedOn w:val="DefaultParagraphFont"/>
    <w:link w:val="af5"/>
    <w:uiPriority w:val="99"/>
    <w:qFormat/>
    <w:rsid w:val="004662fa"/>
    <w:rPr>
      <w:rFonts w:ascii="Times New Roman" w:hAnsi="Times New Roman" w:eastAsia="Times New Roman"/>
      <w:sz w:val="26"/>
    </w:rPr>
  </w:style>
  <w:style w:type="character" w:styleId="111" w:customStyle="1">
    <w:name w:val="Заголовок 1 Знак1"/>
    <w:basedOn w:val="DefaultParagraphFont"/>
    <w:link w:val="1"/>
    <w:qFormat/>
    <w:rsid w:val="00317720"/>
    <w:rPr>
      <w:rFonts w:ascii="Times New Roman" w:hAnsi="Times New Roman" w:eastAsia="" w:cs="" w:cstheme="majorBidi" w:eastAsiaTheme="majorEastAsia"/>
      <w:b/>
      <w:sz w:val="28"/>
      <w:szCs w:val="32"/>
    </w:rPr>
  </w:style>
  <w:style w:type="character" w:styleId="22" w:customStyle="1">
    <w:name w:val="Заголовок 2 Знак"/>
    <w:basedOn w:val="DefaultParagraphFont"/>
    <w:link w:val="2"/>
    <w:qFormat/>
    <w:rsid w:val="00317720"/>
    <w:rPr>
      <w:rFonts w:ascii="Times New Roman" w:hAnsi="Times New Roman" w:eastAsia="" w:cs="" w:cstheme="majorBidi" w:eastAsiaTheme="majorEastAsia"/>
      <w:b/>
      <w:color w:val="000000" w:themeColor="text1"/>
      <w:sz w:val="28"/>
      <w:szCs w:val="26"/>
    </w:rPr>
  </w:style>
  <w:style w:type="character" w:styleId="31" w:customStyle="1">
    <w:name w:val="Заголовок 3 Знак"/>
    <w:basedOn w:val="DefaultParagraphFont"/>
    <w:link w:val="3"/>
    <w:qFormat/>
    <w:rsid w:val="00317720"/>
    <w:rPr>
      <w:rFonts w:ascii="Times New Roman" w:hAnsi="Times New Roman" w:eastAsia="" w:cs="" w:cstheme="majorBidi" w:eastAsiaTheme="majorEastAsia"/>
      <w:b/>
      <w:sz w:val="28"/>
      <w:szCs w:val="24"/>
    </w:rPr>
  </w:style>
  <w:style w:type="character" w:styleId="41" w:customStyle="1">
    <w:name w:val="Заголовок 4 Знак"/>
    <w:basedOn w:val="DefaultParagraphFont"/>
    <w:link w:val="4"/>
    <w:qFormat/>
    <w:rsid w:val="00317720"/>
    <w:rPr>
      <w:rFonts w:ascii="Cambria" w:hAnsi="Cambria" w:eastAsia="" w:cs="" w:asciiTheme="majorHAnsi" w:cstheme="majorBidi" w:eastAsiaTheme="majorEastAsia" w:hAnsiTheme="majorHAnsi"/>
      <w:i/>
      <w:iCs/>
      <w:color w:val="365F91" w:themeColor="accent1" w:themeShade="bf"/>
      <w:sz w:val="28"/>
    </w:rPr>
  </w:style>
  <w:style w:type="character" w:styleId="51" w:customStyle="1">
    <w:name w:val="Заголовок 5 Знак"/>
    <w:basedOn w:val="DefaultParagraphFont"/>
    <w:link w:val="5"/>
    <w:qFormat/>
    <w:rsid w:val="00317720"/>
    <w:rPr>
      <w:rFonts w:ascii="Cambria" w:hAnsi="Cambria" w:eastAsia="" w:cs="" w:asciiTheme="majorHAnsi" w:cstheme="majorBidi" w:eastAsiaTheme="majorEastAsia" w:hAnsiTheme="majorHAnsi"/>
      <w:color w:val="365F91" w:themeColor="accent1" w:themeShade="bf"/>
      <w:sz w:val="28"/>
    </w:rPr>
  </w:style>
  <w:style w:type="character" w:styleId="61" w:customStyle="1">
    <w:name w:val="Заголовок 6 Знак"/>
    <w:basedOn w:val="DefaultParagraphFont"/>
    <w:link w:val="6"/>
    <w:qFormat/>
    <w:rsid w:val="00317720"/>
    <w:rPr>
      <w:rFonts w:ascii="Cambria" w:hAnsi="Cambria" w:eastAsia="" w:cs="" w:asciiTheme="majorHAnsi" w:cstheme="majorBidi" w:eastAsiaTheme="majorEastAsia" w:hAnsiTheme="majorHAnsi"/>
      <w:color w:val="243F60" w:themeColor="accent1" w:themeShade="7f"/>
      <w:sz w:val="28"/>
    </w:rPr>
  </w:style>
  <w:style w:type="character" w:styleId="71" w:customStyle="1">
    <w:name w:val="Заголовок 7 Знак"/>
    <w:basedOn w:val="DefaultParagraphFont"/>
    <w:link w:val="7"/>
    <w:qFormat/>
    <w:rsid w:val="00317720"/>
    <w:rPr>
      <w:rFonts w:ascii="Cambria" w:hAnsi="Cambria" w:eastAsia="" w:cs="" w:asciiTheme="majorHAnsi" w:cstheme="majorBidi" w:eastAsiaTheme="majorEastAsia" w:hAnsiTheme="majorHAnsi"/>
      <w:i/>
      <w:iCs/>
      <w:color w:val="243F60" w:themeColor="accent1" w:themeShade="7f"/>
      <w:sz w:val="28"/>
    </w:rPr>
  </w:style>
  <w:style w:type="character" w:styleId="81" w:customStyle="1">
    <w:name w:val="Заголовок 8 Знак"/>
    <w:basedOn w:val="DefaultParagraphFont"/>
    <w:link w:val="8"/>
    <w:qFormat/>
    <w:rsid w:val="00317720"/>
    <w:rPr>
      <w:rFonts w:ascii="Cambria" w:hAnsi="Cambria" w:eastAsia="" w:cs="" w:asciiTheme="majorHAnsi" w:cstheme="majorBidi" w:eastAsiaTheme="majorEastAsia" w:hAnsiTheme="majorHAnsi"/>
      <w:color w:val="272727" w:themeColor="text1" w:themeTint="d8"/>
      <w:sz w:val="21"/>
      <w:szCs w:val="21"/>
    </w:rPr>
  </w:style>
  <w:style w:type="character" w:styleId="91" w:customStyle="1">
    <w:name w:val="Заголовок 9 Знак"/>
    <w:basedOn w:val="DefaultParagraphFont"/>
    <w:link w:val="9"/>
    <w:qFormat/>
    <w:rsid w:val="00317720"/>
    <w:rPr>
      <w:rFonts w:ascii="Cambria" w:hAnsi="Cambria" w:eastAsia="" w:cs="" w:asciiTheme="majorHAnsi" w:cstheme="majorBidi" w:eastAsiaTheme="majorEastAsia" w:hAnsiTheme="majorHAnsi"/>
      <w:i/>
      <w:iCs/>
      <w:color w:val="272727" w:themeColor="text1" w:themeTint="d8"/>
      <w:sz w:val="21"/>
      <w:szCs w:val="21"/>
    </w:rPr>
  </w:style>
  <w:style w:type="character" w:styleId="Style11" w:customStyle="1">
    <w:name w:val="Название объекта Знак"/>
    <w:link w:val="af9"/>
    <w:uiPriority w:val="35"/>
    <w:qFormat/>
    <w:locked/>
    <w:rsid w:val="00317720"/>
    <w:rPr>
      <w:rFonts w:ascii="Times New Roman" w:hAnsi="Times New Roman"/>
      <w:b/>
      <w:bCs/>
      <w:sz w:val="28"/>
    </w:rPr>
  </w:style>
  <w:style w:type="character" w:styleId="Style12" w:customStyle="1">
    <w:name w:val="_Обычный Знак"/>
    <w:link w:val="afb"/>
    <w:qFormat/>
    <w:locked/>
    <w:rsid w:val="00317720"/>
    <w:rPr>
      <w:rFonts w:ascii="Times New Roman" w:hAnsi="Times New Roman"/>
      <w:iCs/>
      <w:sz w:val="26"/>
      <w:szCs w:val="26"/>
    </w:rPr>
  </w:style>
  <w:style w:type="paragraph" w:styleId="Style13">
    <w:name w:val="Заголовок"/>
    <w:basedOn w:val="Normal"/>
    <w:next w:val="Style14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4">
    <w:name w:val="Body Text"/>
    <w:basedOn w:val="Normal"/>
    <w:rsid w:val="00731704"/>
    <w:pPr>
      <w:spacing w:lineRule="auto" w:line="276" w:before="0" w:after="140"/>
    </w:pPr>
    <w:rPr/>
  </w:style>
  <w:style w:type="paragraph" w:styleId="Style15">
    <w:name w:val="List"/>
    <w:basedOn w:val="Style14"/>
    <w:rsid w:val="00731704"/>
    <w:pPr/>
    <w:rPr>
      <w:rFonts w:cs="Arial"/>
    </w:rPr>
  </w:style>
  <w:style w:type="paragraph" w:styleId="Style16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17">
    <w:name w:val="Указатель"/>
    <w:basedOn w:val="Normal"/>
    <w:qFormat/>
    <w:pPr>
      <w:suppressLineNumbers/>
    </w:pPr>
    <w:rPr>
      <w:rFonts w:cs="Arial"/>
      <w:lang w:val="zxx" w:eastAsia="zxx" w:bidi="zxx"/>
    </w:rPr>
  </w:style>
  <w:style w:type="paragraph" w:styleId="12" w:customStyle="1">
    <w:name w:val="Заголовок1"/>
    <w:basedOn w:val="Normal"/>
    <w:next w:val="Style14"/>
    <w:qFormat/>
    <w:pPr>
      <w:keepNext w:val="true"/>
      <w:spacing w:before="240" w:after="120"/>
      <w:ind w:firstLine="709"/>
    </w:pPr>
    <w:rPr>
      <w:rFonts w:ascii="Liberation Sans" w:hAnsi="Liberation Sans" w:eastAsia="Microsoft YaHei" w:cs="Mangal"/>
      <w:szCs w:val="28"/>
    </w:rPr>
  </w:style>
  <w:style w:type="paragraph" w:styleId="13" w:customStyle="1">
    <w:name w:val="Название объекта1"/>
    <w:basedOn w:val="Normal"/>
    <w:qFormat/>
    <w:pPr>
      <w:spacing w:before="120" w:after="120"/>
      <w:ind w:firstLine="709"/>
    </w:pPr>
    <w:rPr>
      <w:rFonts w:cs="Mangal"/>
      <w:i/>
      <w:iCs/>
    </w:rPr>
  </w:style>
  <w:style w:type="paragraph" w:styleId="Indexheading">
    <w:name w:val="index heading"/>
    <w:basedOn w:val="Normal"/>
    <w:qFormat/>
    <w:rsid w:val="00731704"/>
    <w:pPr>
      <w:suppressLineNumbers/>
    </w:pPr>
    <w:rPr>
      <w:rFonts w:cs="Arial"/>
    </w:rPr>
  </w:style>
  <w:style w:type="paragraph" w:styleId="ConsPlusNormal" w:customStyle="1">
    <w:name w:val="ConsPlusNormal"/>
    <w:qFormat/>
    <w:rsid w:val="00627c22"/>
    <w:pPr>
      <w:widowControl w:val="false"/>
      <w:suppressAutoHyphens w:val="true"/>
      <w:bidi w:val="0"/>
      <w:spacing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BalloonText">
    <w:name w:val="Balloon Text"/>
    <w:basedOn w:val="Normal"/>
    <w:uiPriority w:val="99"/>
    <w:semiHidden/>
    <w:qFormat/>
    <w:rsid w:val="00627c22"/>
    <w:pPr/>
    <w:rPr>
      <w:rFonts w:ascii="Tahoma" w:hAnsi="Tahoma" w:cs="Tahoma"/>
      <w:sz w:val="16"/>
      <w:szCs w:val="16"/>
    </w:rPr>
  </w:style>
  <w:style w:type="paragraph" w:styleId="ConsPlusCell" w:customStyle="1">
    <w:name w:val="ConsPlusCell"/>
    <w:qFormat/>
    <w:rsid w:val="00731704"/>
    <w:pPr>
      <w:widowControl/>
      <w:suppressAutoHyphens w:val="true"/>
      <w:bidi w:val="0"/>
      <w:spacing w:before="0" w:after="0"/>
      <w:jc w:val="left"/>
    </w:pPr>
    <w:rPr>
      <w:rFonts w:ascii="Arial" w:hAnsi="Arial" w:eastAsia="Calibri" w:cs="Arial"/>
      <w:color w:val="auto"/>
      <w:kern w:val="0"/>
      <w:sz w:val="20"/>
      <w:szCs w:val="20"/>
      <w:lang w:val="ru-RU" w:eastAsia="zh-CN" w:bidi="ar-SA"/>
    </w:rPr>
  </w:style>
  <w:style w:type="paragraph" w:styleId="Style18" w:customStyle="1">
    <w:name w:val="Содержимое таблицы"/>
    <w:basedOn w:val="Normal"/>
    <w:qFormat/>
    <w:pPr>
      <w:widowControl w:val="false"/>
      <w:suppressLineNumbers/>
    </w:pPr>
    <w:rPr/>
  </w:style>
  <w:style w:type="paragraph" w:styleId="Style19" w:customStyle="1">
    <w:name w:val="Заголовок таблицы"/>
    <w:basedOn w:val="Style18"/>
    <w:qFormat/>
    <w:pPr>
      <w:jc w:val="center"/>
    </w:pPr>
    <w:rPr>
      <w:b/>
      <w:bCs/>
    </w:rPr>
  </w:style>
  <w:style w:type="paragraph" w:styleId="ListParagraph">
    <w:name w:val="List Paragraph"/>
    <w:basedOn w:val="Normal"/>
    <w:qFormat/>
    <w:pPr>
      <w:spacing w:before="0" w:after="160"/>
      <w:ind w:left="720" w:hanging="0"/>
      <w:contextualSpacing/>
    </w:pPr>
    <w:rPr/>
  </w:style>
  <w:style w:type="paragraph" w:styleId="ConsPlusNonformat" w:customStyle="1">
    <w:name w:val="ConsPlusNonformat"/>
    <w:uiPriority w:val="99"/>
    <w:qFormat/>
    <w:pPr>
      <w:widowControl/>
      <w:suppressAutoHyphens w:val="true"/>
      <w:bidi w:val="0"/>
      <w:spacing w:before="0" w:after="0"/>
      <w:jc w:val="left"/>
    </w:pPr>
    <w:rPr>
      <w:rFonts w:ascii="Courier New" w:hAnsi="Courier New" w:eastAsia="Calibri" w:cs="Courier New"/>
      <w:color w:val="auto"/>
      <w:kern w:val="0"/>
      <w:sz w:val="20"/>
      <w:szCs w:val="20"/>
      <w:lang w:val="ru-RU" w:eastAsia="zh-CN" w:bidi="ar-SA"/>
    </w:rPr>
  </w:style>
  <w:style w:type="paragraph" w:styleId="Standard" w:customStyle="1">
    <w:name w:val="Standard"/>
    <w:qFormat/>
    <w:pPr>
      <w:widowControl w:val="false"/>
      <w:suppressAutoHyphens w:val="true"/>
      <w:bidi w:val="0"/>
      <w:spacing w:before="0" w:after="0"/>
      <w:jc w:val="left"/>
      <w:textAlignment w:val="baseline"/>
    </w:pPr>
    <w:rPr>
      <w:rFonts w:ascii="Liberation Serif;Times New Roma" w:hAnsi="Liberation Serif;Times New Roma" w:eastAsia="NSimSun" w:cs="Arial"/>
      <w:color w:val="auto"/>
      <w:kern w:val="0"/>
      <w:sz w:val="24"/>
      <w:szCs w:val="24"/>
      <w:lang w:val="ru-RU" w:eastAsia="zh-CN" w:bidi="hi-IN"/>
    </w:rPr>
  </w:style>
  <w:style w:type="paragraph" w:styleId="NormalWeb">
    <w:name w:val="Normal (Web)"/>
    <w:basedOn w:val="Normal"/>
    <w:qFormat/>
    <w:pPr>
      <w:spacing w:before="280" w:after="280"/>
    </w:pPr>
    <w:rPr>
      <w:sz w:val="24"/>
      <w:szCs w:val="24"/>
    </w:rPr>
  </w:style>
  <w:style w:type="paragraph" w:styleId="23" w:customStyle="1">
    <w:name w:val="Основной текст (2)"/>
    <w:basedOn w:val="Normal"/>
    <w:qFormat/>
    <w:pPr>
      <w:shd w:val="clear" w:color="auto" w:fill="FFFFFF"/>
      <w:spacing w:lineRule="exact" w:line="298"/>
      <w:jc w:val="both"/>
    </w:pPr>
    <w:rPr/>
  </w:style>
  <w:style w:type="paragraph" w:styleId="Style20" w:customStyle="1">
    <w:name w:val="Подпись к таблице"/>
    <w:basedOn w:val="Normal"/>
    <w:qFormat/>
    <w:pPr>
      <w:shd w:val="clear" w:color="auto" w:fill="FFFFFF"/>
      <w:spacing w:lineRule="atLeast" w:line="0"/>
      <w:jc w:val="both"/>
    </w:pPr>
    <w:rPr>
      <w:sz w:val="21"/>
      <w:szCs w:val="21"/>
    </w:rPr>
  </w:style>
  <w:style w:type="paragraph" w:styleId="Style21" w:customStyle="1">
    <w:name w:val="Содержимое врезки"/>
    <w:basedOn w:val="Normal"/>
    <w:qFormat/>
    <w:pPr/>
    <w:rPr/>
  </w:style>
  <w:style w:type="paragraph" w:styleId="NoSpacing">
    <w:name w:val="No Spacing"/>
    <w:qFormat/>
    <w:pPr>
      <w:widowControl/>
      <w:suppressAutoHyphens w:val="true"/>
      <w:bidi w:val="0"/>
      <w:spacing w:before="0" w:after="0"/>
      <w:jc w:val="left"/>
    </w:pPr>
    <w:rPr>
      <w:rFonts w:ascii="Calibri" w:hAnsi="Calibri" w:eastAsia="Arial" w:cs="Times New Roman"/>
      <w:color w:val="00000A"/>
      <w:kern w:val="2"/>
      <w:sz w:val="22"/>
      <w:szCs w:val="22"/>
      <w:lang w:val="ru-RU" w:eastAsia="ar-SA" w:bidi="ar-SA"/>
    </w:rPr>
  </w:style>
  <w:style w:type="paragraph" w:styleId="112" w:customStyle="1">
    <w:name w:val="Заголовок 11"/>
    <w:basedOn w:val="Normal"/>
    <w:qFormat/>
    <w:pPr>
      <w:keepNext w:val="true"/>
    </w:pPr>
    <w:rPr>
      <w:b/>
      <w:sz w:val="20"/>
      <w:szCs w:val="20"/>
    </w:rPr>
  </w:style>
  <w:style w:type="paragraph" w:styleId="Msonormal" w:customStyle="1">
    <w:name w:val="msonormal"/>
    <w:basedOn w:val="Normal"/>
    <w:qFormat/>
    <w:rsid w:val="00bb4295"/>
    <w:pPr>
      <w:suppressAutoHyphens w:val="false"/>
      <w:spacing w:beforeAutospacing="1" w:afterAutospacing="1"/>
    </w:pPr>
    <w:rPr>
      <w:sz w:val="24"/>
      <w:szCs w:val="24"/>
    </w:rPr>
  </w:style>
  <w:style w:type="paragraph" w:styleId="Font5" w:customStyle="1">
    <w:name w:val="font5"/>
    <w:basedOn w:val="Normal"/>
    <w:qFormat/>
    <w:rsid w:val="00bb4295"/>
    <w:pPr>
      <w:suppressAutoHyphens w:val="false"/>
      <w:spacing w:beforeAutospacing="1" w:afterAutospacing="1"/>
    </w:pPr>
    <w:rPr>
      <w:rFonts w:ascii="Tahoma" w:hAnsi="Tahoma" w:cs="Tahoma"/>
      <w:color w:val="000000"/>
      <w:sz w:val="18"/>
      <w:szCs w:val="18"/>
    </w:rPr>
  </w:style>
  <w:style w:type="paragraph" w:styleId="Font6" w:customStyle="1">
    <w:name w:val="font6"/>
    <w:basedOn w:val="Normal"/>
    <w:qFormat/>
    <w:rsid w:val="00bb4295"/>
    <w:pPr>
      <w:suppressAutoHyphens w:val="false"/>
      <w:spacing w:beforeAutospacing="1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styleId="Xl77" w:customStyle="1">
    <w:name w:val="xl77"/>
    <w:basedOn w:val="Normal"/>
    <w:qFormat/>
    <w:rsid w:val="00bb4295"/>
    <w:pPr>
      <w:suppressAutoHyphens w:val="false"/>
      <w:spacing w:beforeAutospacing="1" w:afterAutospacing="1"/>
    </w:pPr>
    <w:rPr>
      <w:rFonts w:ascii="Arial CYR" w:hAnsi="Arial CYR"/>
      <w:sz w:val="20"/>
      <w:szCs w:val="20"/>
    </w:rPr>
  </w:style>
  <w:style w:type="paragraph" w:styleId="Xl78" w:customStyle="1">
    <w:name w:val="xl78"/>
    <w:basedOn w:val="Normal"/>
    <w:qFormat/>
    <w:rsid w:val="00bb4295"/>
    <w:pPr>
      <w:suppressAutoHyphens w:val="false"/>
      <w:spacing w:beforeAutospacing="1" w:afterAutospacing="1"/>
      <w:jc w:val="center"/>
      <w:textAlignment w:val="center"/>
    </w:pPr>
    <w:rPr>
      <w:rFonts w:ascii="Arial CYR" w:hAnsi="Arial CYR"/>
      <w:sz w:val="20"/>
      <w:szCs w:val="20"/>
    </w:rPr>
  </w:style>
  <w:style w:type="paragraph" w:styleId="Xl79" w:customStyle="1">
    <w:name w:val="xl79"/>
    <w:basedOn w:val="Normal"/>
    <w:qFormat/>
    <w:rsid w:val="00bb4295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20"/>
      <w:szCs w:val="20"/>
    </w:rPr>
  </w:style>
  <w:style w:type="paragraph" w:styleId="Xl80" w:customStyle="1">
    <w:name w:val="xl80"/>
    <w:basedOn w:val="Normal"/>
    <w:qFormat/>
    <w:rsid w:val="00bb4295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20"/>
      <w:szCs w:val="20"/>
    </w:rPr>
  </w:style>
  <w:style w:type="paragraph" w:styleId="Xl81" w:customStyle="1">
    <w:name w:val="xl81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20"/>
      <w:szCs w:val="20"/>
    </w:rPr>
  </w:style>
  <w:style w:type="paragraph" w:styleId="Xl82" w:customStyle="1">
    <w:name w:val="xl82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20"/>
      <w:szCs w:val="20"/>
    </w:rPr>
  </w:style>
  <w:style w:type="paragraph" w:styleId="Xl83" w:customStyle="1">
    <w:name w:val="xl83"/>
    <w:basedOn w:val="Normal"/>
    <w:qFormat/>
    <w:rsid w:val="00bb4295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24"/>
      <w:szCs w:val="24"/>
    </w:rPr>
  </w:style>
  <w:style w:type="paragraph" w:styleId="Xl84" w:customStyle="1">
    <w:name w:val="xl84"/>
    <w:basedOn w:val="Normal"/>
    <w:qFormat/>
    <w:rsid w:val="00bb4295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24"/>
      <w:szCs w:val="24"/>
    </w:rPr>
  </w:style>
  <w:style w:type="paragraph" w:styleId="Xl85" w:customStyle="1">
    <w:name w:val="xl85"/>
    <w:basedOn w:val="Normal"/>
    <w:qFormat/>
    <w:rsid w:val="00bb4295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24"/>
      <w:szCs w:val="24"/>
    </w:rPr>
  </w:style>
  <w:style w:type="paragraph" w:styleId="Xl86" w:customStyle="1">
    <w:name w:val="xl86"/>
    <w:basedOn w:val="Normal"/>
    <w:qFormat/>
    <w:rsid w:val="00bb4295"/>
    <w:pPr>
      <w:suppressAutoHyphens w:val="false"/>
      <w:spacing w:beforeAutospacing="1" w:afterAutospacing="1"/>
      <w:jc w:val="center"/>
      <w:textAlignment w:val="center"/>
    </w:pPr>
    <w:rPr>
      <w:rFonts w:ascii="Arial CYR" w:hAnsi="Arial CYR"/>
      <w:sz w:val="20"/>
      <w:szCs w:val="20"/>
    </w:rPr>
  </w:style>
  <w:style w:type="paragraph" w:styleId="Xl87" w:customStyle="1">
    <w:name w:val="xl87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20"/>
      <w:szCs w:val="20"/>
    </w:rPr>
  </w:style>
  <w:style w:type="paragraph" w:styleId="Xl88" w:customStyle="1">
    <w:name w:val="xl88"/>
    <w:basedOn w:val="Normal"/>
    <w:qFormat/>
    <w:rsid w:val="00bb4295"/>
    <w:pPr>
      <w:suppressAutoHyphens w:val="false"/>
      <w:spacing w:beforeAutospacing="1" w:afterAutospacing="1"/>
      <w:jc w:val="center"/>
    </w:pPr>
    <w:rPr>
      <w:rFonts w:ascii="Arial CYR" w:hAnsi="Arial CYR"/>
      <w:sz w:val="20"/>
      <w:szCs w:val="20"/>
    </w:rPr>
  </w:style>
  <w:style w:type="paragraph" w:styleId="Xl89" w:customStyle="1">
    <w:name w:val="xl89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</w:pPr>
    <w:rPr>
      <w:rFonts w:ascii="Arial CYR" w:hAnsi="Arial CYR"/>
      <w:sz w:val="20"/>
      <w:szCs w:val="20"/>
    </w:rPr>
  </w:style>
  <w:style w:type="paragraph" w:styleId="Xl90" w:customStyle="1">
    <w:name w:val="xl90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20"/>
      <w:szCs w:val="20"/>
    </w:rPr>
  </w:style>
  <w:style w:type="paragraph" w:styleId="Xl91" w:customStyle="1">
    <w:name w:val="xl91"/>
    <w:basedOn w:val="Normal"/>
    <w:qFormat/>
    <w:rsid w:val="00bb4295"/>
    <w:pPr>
      <w:shd w:val="clear" w:color="000000" w:fill="FFFF00"/>
      <w:suppressAutoHyphens w:val="false"/>
      <w:spacing w:beforeAutospacing="1" w:afterAutospacing="1"/>
    </w:pPr>
    <w:rPr>
      <w:rFonts w:ascii="Arial CYR" w:hAnsi="Arial CYR"/>
      <w:sz w:val="20"/>
      <w:szCs w:val="20"/>
    </w:rPr>
  </w:style>
  <w:style w:type="paragraph" w:styleId="Xl92" w:customStyle="1">
    <w:name w:val="xl92"/>
    <w:basedOn w:val="Normal"/>
    <w:qFormat/>
    <w:rsid w:val="00bb4295"/>
    <w:pPr>
      <w:shd w:val="clear" w:color="000000" w:fill="FF0000"/>
      <w:suppressAutoHyphens w:val="false"/>
      <w:spacing w:beforeAutospacing="1" w:afterAutospacing="1"/>
    </w:pPr>
    <w:rPr>
      <w:rFonts w:ascii="Arial CYR" w:hAnsi="Arial CYR"/>
      <w:sz w:val="20"/>
      <w:szCs w:val="20"/>
    </w:rPr>
  </w:style>
  <w:style w:type="paragraph" w:styleId="Xl93" w:customStyle="1">
    <w:name w:val="xl93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94" w:customStyle="1">
    <w:name w:val="xl94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95" w:customStyle="1">
    <w:name w:val="xl95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96" w:customStyle="1">
    <w:name w:val="xl96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97" w:customStyle="1">
    <w:name w:val="xl97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98" w:customStyle="1">
    <w:name w:val="xl98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99" w:customStyle="1">
    <w:name w:val="xl99"/>
    <w:basedOn w:val="Normal"/>
    <w:qFormat/>
    <w:rsid w:val="00bb4295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100" w:customStyle="1">
    <w:name w:val="xl100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101" w:customStyle="1">
    <w:name w:val="xl101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102" w:customStyle="1">
    <w:name w:val="xl102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color w:val="FF0000"/>
      <w:sz w:val="18"/>
      <w:szCs w:val="18"/>
    </w:rPr>
  </w:style>
  <w:style w:type="paragraph" w:styleId="Xl103" w:customStyle="1">
    <w:name w:val="xl103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18"/>
      <w:szCs w:val="18"/>
    </w:rPr>
  </w:style>
  <w:style w:type="paragraph" w:styleId="Xl104" w:customStyle="1">
    <w:name w:val="xl104"/>
    <w:basedOn w:val="Normal"/>
    <w:qFormat/>
    <w:rsid w:val="00bb4295"/>
    <w:pPr>
      <w:pBdr>
        <w:left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105" w:customStyle="1">
    <w:name w:val="xl105"/>
    <w:basedOn w:val="Normal"/>
    <w:qFormat/>
    <w:rsid w:val="00bb4295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18"/>
      <w:szCs w:val="18"/>
    </w:rPr>
  </w:style>
  <w:style w:type="paragraph" w:styleId="Xl106" w:customStyle="1">
    <w:name w:val="xl106"/>
    <w:basedOn w:val="Normal"/>
    <w:qFormat/>
    <w:rsid w:val="00bb4295"/>
    <w:pPr>
      <w:pBdr>
        <w:top w:val="single" w:sz="4" w:space="0" w:color="000000"/>
        <w:bottom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18"/>
      <w:szCs w:val="18"/>
    </w:rPr>
  </w:style>
  <w:style w:type="paragraph" w:styleId="Xl107" w:customStyle="1">
    <w:name w:val="xl107"/>
    <w:basedOn w:val="Normal"/>
    <w:qFormat/>
    <w:rsid w:val="00bb4295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b/>
      <w:bCs/>
      <w:sz w:val="18"/>
      <w:szCs w:val="18"/>
    </w:rPr>
  </w:style>
  <w:style w:type="paragraph" w:styleId="Xl108" w:customStyle="1">
    <w:name w:val="xl108"/>
    <w:basedOn w:val="Normal"/>
    <w:qFormat/>
    <w:rsid w:val="00bb4295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false"/>
      <w:spacing w:beforeAutospacing="1" w:afterAutospacing="1"/>
      <w:jc w:val="center"/>
      <w:textAlignment w:val="center"/>
    </w:pPr>
    <w:rPr>
      <w:sz w:val="18"/>
      <w:szCs w:val="18"/>
    </w:rPr>
  </w:style>
  <w:style w:type="paragraph" w:styleId="Xl109" w:customStyle="1">
    <w:name w:val="xl109"/>
    <w:basedOn w:val="Normal"/>
    <w:qFormat/>
    <w:rsid w:val="00bb4295"/>
    <w:pPr>
      <w:suppressAutoHyphens w:val="false"/>
      <w:spacing w:beforeAutospacing="1" w:afterAutospacing="1"/>
    </w:pPr>
    <w:rPr>
      <w:sz w:val="18"/>
      <w:szCs w:val="18"/>
    </w:rPr>
  </w:style>
  <w:style w:type="paragraph" w:styleId="Style22">
    <w:name w:val="Колонтитул"/>
    <w:basedOn w:val="Normal"/>
    <w:qFormat/>
    <w:pPr/>
    <w:rPr/>
  </w:style>
  <w:style w:type="paragraph" w:styleId="Style23">
    <w:name w:val="Header"/>
    <w:basedOn w:val="Normal"/>
    <w:link w:val="af4"/>
    <w:uiPriority w:val="99"/>
    <w:unhideWhenUsed/>
    <w:rsid w:val="004662fa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4">
    <w:name w:val="Footer"/>
    <w:basedOn w:val="Normal"/>
    <w:link w:val="af6"/>
    <w:uiPriority w:val="99"/>
    <w:unhideWhenUsed/>
    <w:rsid w:val="004662fa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211" w:customStyle="1">
    <w:name w:val="Основной текст с отступом 21"/>
    <w:basedOn w:val="Normal"/>
    <w:qFormat/>
    <w:rsid w:val="003c116d"/>
    <w:pPr>
      <w:suppressAutoHyphens w:val="false"/>
      <w:ind w:firstLine="420"/>
      <w:jc w:val="both"/>
    </w:pPr>
    <w:rPr>
      <w:sz w:val="24"/>
      <w:szCs w:val="20"/>
    </w:rPr>
  </w:style>
  <w:style w:type="paragraph" w:styleId="Style25" w:customStyle="1">
    <w:name w:val="для таблицы шапка"/>
    <w:basedOn w:val="Normal"/>
    <w:qFormat/>
    <w:rsid w:val="006552cc"/>
    <w:pPr>
      <w:keepNext w:val="true"/>
      <w:keepLines/>
      <w:suppressAutoHyphens w:val="false"/>
      <w:jc w:val="center"/>
    </w:pPr>
    <w:rPr>
      <w:rFonts w:eastAsia="Calibri"/>
      <w:b/>
      <w:sz w:val="20"/>
    </w:rPr>
  </w:style>
  <w:style w:type="paragraph" w:styleId="Caption">
    <w:name w:val="caption"/>
    <w:basedOn w:val="Normal"/>
    <w:next w:val="Normal"/>
    <w:link w:val="af8"/>
    <w:uiPriority w:val="35"/>
    <w:unhideWhenUsed/>
    <w:qFormat/>
    <w:locked/>
    <w:rsid w:val="00317720"/>
    <w:pPr>
      <w:keepNext w:val="true"/>
      <w:keepLines/>
      <w:suppressAutoHyphens w:val="false"/>
      <w:spacing w:lineRule="auto" w:line="360" w:before="120" w:after="120"/>
      <w:jc w:val="both"/>
    </w:pPr>
    <w:rPr>
      <w:rFonts w:eastAsia="Calibri"/>
      <w:b/>
      <w:bCs/>
      <w:sz w:val="28"/>
    </w:rPr>
  </w:style>
  <w:style w:type="paragraph" w:styleId="Style26" w:customStyle="1">
    <w:name w:val="_Обычный"/>
    <w:basedOn w:val="Normal"/>
    <w:link w:val="afa"/>
    <w:qFormat/>
    <w:rsid w:val="00317720"/>
    <w:pPr>
      <w:suppressAutoHyphens w:val="false"/>
      <w:spacing w:lineRule="auto" w:line="360"/>
      <w:ind w:firstLine="709"/>
      <w:jc w:val="both"/>
    </w:pPr>
    <w:rPr>
      <w:rFonts w:eastAsia="Calibri"/>
      <w:iCs/>
      <w:szCs w:val="26"/>
    </w:rPr>
  </w:style>
  <w:style w:type="paragraph" w:styleId="14" w:customStyle="1">
    <w:name w:val="Маркированный список1"/>
    <w:basedOn w:val="Normal"/>
    <w:qFormat/>
    <w:rsid w:val="00e673f3"/>
    <w:pPr>
      <w:suppressAutoHyphens w:val="false"/>
      <w:spacing w:before="120" w:after="120"/>
      <w:ind w:left="567" w:hanging="0"/>
      <w:jc w:val="both"/>
    </w:pPr>
    <w:rPr>
      <w:rFonts w:ascii="Arial" w:hAnsi="Arial" w:eastAsia="Calibri" w:cs="Arial" w:eastAsiaTheme="minorHAnsi"/>
      <w:spacing w:val="-5"/>
      <w:sz w:val="22"/>
      <w:lang w:eastAsia="zh-CN"/>
    </w:rPr>
  </w:style>
  <w:style w:type="numbering" w:styleId="NoList" w:default="1">
    <w:name w:val="No List"/>
    <w:uiPriority w:val="99"/>
    <w:semiHidden/>
    <w:unhideWhenUsed/>
    <w:qFormat/>
  </w:style>
  <w:style w:type="numbering" w:styleId="WW8Num5" w:customStyle="1">
    <w:name w:val="WW8Num5"/>
    <w:qFormat/>
  </w:style>
  <w:style w:type="numbering" w:styleId="WW8Num2" w:customStyle="1">
    <w:name w:val="WW8Num2"/>
    <w:qFormat/>
  </w:style>
  <w:style w:type="numbering" w:styleId="WW8Num3" w:customStyle="1">
    <w:name w:val="WW8Num3"/>
    <w:qFormat/>
  </w:style>
  <w:style w:type="numbering" w:styleId="WW8Num4" w:customStyle="1">
    <w:name w:val="WW8Num4"/>
    <w:qFormat/>
  </w:style>
  <w:style w:type="numbering" w:styleId="54" w:customStyle="1">
    <w:name w:val="Стиль54"/>
    <w:uiPriority w:val="99"/>
    <w:qFormat/>
    <w:rsid w:val="00317720"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c">
    <w:name w:val="Table Grid"/>
    <w:basedOn w:val="a1"/>
    <w:rsid w:val="00302a45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wmf"/><Relationship Id="rId5" Type="http://schemas.openxmlformats.org/officeDocument/2006/relationships/image" Target="media/image4.png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A9CDBF-D5A0-45ED-91CA-74580AFDBC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2388</TotalTime>
  <Application>LibreOffice/7.2.1.2$Windows_X86_64 LibreOffice_project/87b77fad49947c1441b67c559c339af8f3517e22</Application>
  <AppVersion>15.0000</AppVersion>
  <Pages>24</Pages>
  <Words>5319</Words>
  <Characters>30962</Characters>
  <CharactersWithSpaces>34977</CharactersWithSpaces>
  <Paragraphs>1561</Paragraphs>
  <Company>AO SUEK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2024-02-01T03:51:00Z</dcterms:created>
  <dc:creator>123</dc:creator>
  <dc:description/>
  <dc:language>ru-RU</dc:language>
  <cp:lastModifiedBy/>
  <cp:lastPrinted>2023-07-03T11:40:00Z</cp:lastPrinted>
  <dcterms:modified xsi:type="dcterms:W3CDTF">2024-05-30T07:59:02Z</dcterms:modified>
  <cp:revision>296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